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43F" w:rsidRDefault="0056343F" w:rsidP="00F1126B">
      <w:pPr>
        <w:spacing w:after="0" w:line="240" w:lineRule="auto"/>
        <w:jc w:val="right"/>
        <w:rPr>
          <w:rFonts w:ascii="Arial" w:hAnsi="Arial" w:cs="Arial"/>
          <w:sz w:val="24"/>
          <w:szCs w:val="24"/>
          <w:lang w:val="en-US"/>
        </w:rPr>
      </w:pPr>
      <w:bookmarkStart w:id="0" w:name="_GoBack"/>
      <w:bookmarkEnd w:id="0"/>
      <w:r>
        <w:rPr>
          <w:rFonts w:ascii="Arial" w:hAnsi="Arial" w:cs="Arial"/>
          <w:sz w:val="24"/>
          <w:szCs w:val="24"/>
          <w:lang w:val="en-US"/>
        </w:rPr>
        <w:t>13/09/2012</w:t>
      </w:r>
    </w:p>
    <w:p w:rsidR="0056343F" w:rsidRDefault="0056343F" w:rsidP="00F1126B">
      <w:pPr>
        <w:spacing w:after="0" w:line="240" w:lineRule="auto"/>
        <w:rPr>
          <w:rFonts w:ascii="Arial" w:hAnsi="Arial" w:cs="Arial"/>
          <w:sz w:val="24"/>
          <w:szCs w:val="24"/>
          <w:lang w:val="en-US"/>
        </w:rPr>
      </w:pPr>
    </w:p>
    <w:p w:rsidR="0056343F" w:rsidRPr="0025085C" w:rsidRDefault="0056343F" w:rsidP="00F1126B">
      <w:pPr>
        <w:spacing w:after="0" w:line="240" w:lineRule="auto"/>
        <w:rPr>
          <w:rFonts w:ascii="Arial" w:hAnsi="Arial" w:cs="Arial"/>
          <w:sz w:val="24"/>
          <w:szCs w:val="24"/>
          <w:lang w:val="en-US"/>
        </w:rPr>
      </w:pPr>
      <w:r w:rsidRPr="0025085C">
        <w:rPr>
          <w:rFonts w:ascii="Arial" w:hAnsi="Arial" w:cs="Arial"/>
          <w:sz w:val="24"/>
          <w:szCs w:val="24"/>
          <w:lang w:val="en-US"/>
        </w:rPr>
        <w:t>(c) How Does Law Matter in the Constitution of Legal Consciousness</w:t>
      </w:r>
    </w:p>
    <w:p w:rsidR="0056343F" w:rsidRDefault="0056343F" w:rsidP="00F1126B">
      <w:pPr>
        <w:spacing w:after="0" w:line="240" w:lineRule="auto"/>
        <w:jc w:val="right"/>
        <w:rPr>
          <w:rFonts w:ascii="Arial" w:hAnsi="Arial" w:cs="Arial"/>
          <w:sz w:val="24"/>
          <w:szCs w:val="24"/>
          <w:lang w:val="en-US"/>
        </w:rPr>
      </w:pPr>
    </w:p>
    <w:p w:rsidR="0056343F" w:rsidRPr="0025085C" w:rsidRDefault="0056343F" w:rsidP="00F1126B">
      <w:pPr>
        <w:spacing w:after="0" w:line="240" w:lineRule="auto"/>
        <w:rPr>
          <w:rFonts w:ascii="Arial" w:hAnsi="Arial" w:cs="Arial"/>
          <w:b/>
          <w:bCs/>
          <w:sz w:val="32"/>
          <w:szCs w:val="32"/>
          <w:lang w:val="en-US"/>
        </w:rPr>
      </w:pPr>
      <w:r w:rsidRPr="0025085C">
        <w:rPr>
          <w:rFonts w:ascii="Arial" w:hAnsi="Arial" w:cs="Arial"/>
          <w:b/>
          <w:bCs/>
          <w:sz w:val="32"/>
          <w:szCs w:val="32"/>
          <w:lang w:val="en-US"/>
        </w:rPr>
        <w:t>David M. Engel</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1.       </w:t>
      </w:r>
      <w:r w:rsidRPr="00875AAE">
        <w:rPr>
          <w:rFonts w:ascii="Arial" w:hAnsi="Arial" w:cs="Arial"/>
          <w:b/>
          <w:bCs/>
          <w:sz w:val="24"/>
          <w:szCs w:val="24"/>
          <w:lang w:val="en-US"/>
        </w:rPr>
        <w:t>Introduction</w:t>
      </w:r>
    </w:p>
    <w:p w:rsidR="0056343F" w:rsidRDefault="0056343F" w:rsidP="00F1126B">
      <w:pPr>
        <w:spacing w:after="0" w:line="240" w:lineRule="auto"/>
        <w:jc w:val="right"/>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P.145</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-The interest of law and society is in “Legal consciousness”</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Scholarships found in 1970 and early 1980’s, found that the subject of “legal consciousness” has emerged as a topic which interest the sociological scholars only for the past 8-10 years. </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4.       </w:t>
      </w:r>
      <w:r w:rsidRPr="00875AAE">
        <w:rPr>
          <w:rFonts w:ascii="Arial" w:hAnsi="Arial" w:cs="Arial"/>
          <w:b/>
          <w:bCs/>
          <w:sz w:val="24"/>
          <w:szCs w:val="24"/>
          <w:lang w:val="en-US"/>
        </w:rPr>
        <w:t>How Does Law Matter</w:t>
      </w:r>
      <w:r>
        <w:rPr>
          <w:rFonts w:ascii="Arial" w:hAnsi="Arial" w:cs="Arial"/>
          <w:sz w:val="24"/>
          <w:szCs w:val="24"/>
          <w:lang w:val="en-US"/>
        </w:rPr>
        <w:t xml:space="preserve"> </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P.146</w:t>
      </w:r>
    </w:p>
    <w:p w:rsidR="0056343F" w:rsidRDefault="0056343F" w:rsidP="00F1126B">
      <w:pPr>
        <w:spacing w:after="0" w:line="240" w:lineRule="auto"/>
        <w:rPr>
          <w:rFonts w:ascii="Arial" w:hAnsi="Arial" w:cs="Arial"/>
          <w:sz w:val="24"/>
          <w:szCs w:val="24"/>
          <w:lang w:val="en-US"/>
        </w:rPr>
      </w:pPr>
    </w:p>
    <w:p w:rsidR="0056343F" w:rsidRPr="00BD5242" w:rsidRDefault="0056343F" w:rsidP="00F1126B">
      <w:pPr>
        <w:spacing w:after="0" w:line="240" w:lineRule="auto"/>
        <w:rPr>
          <w:rFonts w:ascii="Arial" w:hAnsi="Arial" w:cs="Arial"/>
          <w:b/>
          <w:bCs/>
          <w:sz w:val="24"/>
          <w:szCs w:val="24"/>
          <w:u w:val="single"/>
          <w:lang w:val="en-US"/>
        </w:rPr>
      </w:pPr>
      <w:r w:rsidRPr="00BD5242">
        <w:rPr>
          <w:rFonts w:ascii="Arial" w:hAnsi="Arial" w:cs="Arial"/>
          <w:b/>
          <w:bCs/>
          <w:sz w:val="24"/>
          <w:szCs w:val="24"/>
          <w:u w:val="single"/>
          <w:lang w:val="en-US"/>
        </w:rPr>
        <w:t xml:space="preserve">A. Power and Resistance </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w:t>
      </w:r>
      <w:r w:rsidRPr="008F1510">
        <w:rPr>
          <w:rFonts w:ascii="Arial" w:hAnsi="Arial" w:cs="Arial"/>
          <w:b/>
          <w:bCs/>
          <w:sz w:val="24"/>
          <w:szCs w:val="24"/>
          <w:lang w:val="en-US"/>
        </w:rPr>
        <w:t>The articles by Ewick, Silbey and Sarat describe law as “powerfully determinative of the legal consciousness”</w:t>
      </w:r>
      <w:r>
        <w:rPr>
          <w:rFonts w:ascii="Arial" w:hAnsi="Arial" w:cs="Arial"/>
          <w:sz w:val="24"/>
          <w:szCs w:val="24"/>
          <w:lang w:val="en-US"/>
        </w:rPr>
        <w:t xml:space="preserve"> </w:t>
      </w:r>
    </w:p>
    <w:p w:rsidR="0056343F" w:rsidRPr="00875AAE" w:rsidRDefault="0056343F" w:rsidP="00F1126B">
      <w:pPr>
        <w:spacing w:after="0" w:line="240" w:lineRule="auto"/>
        <w:ind w:left="720"/>
        <w:rPr>
          <w:rFonts w:ascii="Arial" w:hAnsi="Arial" w:cs="Arial"/>
          <w:sz w:val="24"/>
          <w:szCs w:val="24"/>
          <w:lang w:val="en-US"/>
        </w:rPr>
      </w:pPr>
      <w:r w:rsidRPr="00875AAE">
        <w:rPr>
          <w:rFonts w:ascii="Arial" w:hAnsi="Arial" w:cs="Arial"/>
          <w:sz w:val="24"/>
          <w:szCs w:val="24"/>
          <w:lang w:val="en-US"/>
        </w:rPr>
        <w:t>The article also explains why and how law plays a crucial constitutive law and it is mainly because people could find new meanings and practices in law. This is part of “Power of Law”</w:t>
      </w:r>
    </w:p>
    <w:p w:rsidR="0056343F" w:rsidRPr="008F1510" w:rsidRDefault="0056343F" w:rsidP="00F1126B">
      <w:pPr>
        <w:spacing w:after="0" w:line="240" w:lineRule="auto"/>
        <w:rPr>
          <w:rFonts w:ascii="Arial" w:hAnsi="Arial" w:cs="Arial"/>
          <w:b/>
          <w:bCs/>
          <w:sz w:val="24"/>
          <w:szCs w:val="24"/>
          <w:lang w:val="en-US"/>
        </w:rPr>
      </w:pPr>
      <w:r>
        <w:rPr>
          <w:rFonts w:ascii="Arial" w:hAnsi="Arial" w:cs="Arial"/>
          <w:sz w:val="24"/>
          <w:szCs w:val="24"/>
          <w:lang w:val="en-US"/>
        </w:rPr>
        <w:t xml:space="preserve"> -</w:t>
      </w:r>
      <w:r w:rsidRPr="008F1510">
        <w:rPr>
          <w:rFonts w:ascii="Arial" w:hAnsi="Arial" w:cs="Arial"/>
          <w:b/>
          <w:bCs/>
          <w:sz w:val="24"/>
          <w:szCs w:val="24"/>
          <w:lang w:val="en-US"/>
        </w:rPr>
        <w:t>de Certeau presented a model of “practice” and “resistance”.</w:t>
      </w:r>
    </w:p>
    <w:p w:rsidR="0056343F" w:rsidRDefault="0056343F" w:rsidP="00F1126B">
      <w:pPr>
        <w:spacing w:after="0" w:line="240" w:lineRule="auto"/>
        <w:ind w:left="720"/>
        <w:rPr>
          <w:rFonts w:ascii="Arial" w:hAnsi="Arial" w:cs="Arial"/>
          <w:sz w:val="24"/>
          <w:szCs w:val="24"/>
          <w:lang w:val="en-US"/>
        </w:rPr>
      </w:pPr>
      <w:r>
        <w:rPr>
          <w:rFonts w:ascii="Arial" w:hAnsi="Arial" w:cs="Arial"/>
          <w:sz w:val="24"/>
          <w:szCs w:val="24"/>
          <w:lang w:val="en-US"/>
        </w:rPr>
        <w:t>“This model conceives of power emanating outward from the sources of sociocultural production to shape everyday practices”—&gt;It is basically to regulate our society.</w:t>
      </w:r>
    </w:p>
    <w:p w:rsidR="0056343F" w:rsidRDefault="0056343F" w:rsidP="00F1126B">
      <w:pPr>
        <w:spacing w:after="0" w:line="240" w:lineRule="auto"/>
        <w:ind w:left="720"/>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Certain practices are to set our day-to-day time, schedule, norms and values also to guide our everyday behavior.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Power is neutralized and disseminated broadly throughout most aspects of our lives and we are sometimes unaware that we are subjects under its dominance.</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Yet power does not necessarily determine all aspects of our lives.</w:t>
      </w:r>
    </w:p>
    <w:p w:rsidR="0056343F" w:rsidRDefault="0056343F" w:rsidP="00F1126B">
      <w:pPr>
        <w:spacing w:after="0" w:line="240" w:lineRule="auto"/>
        <w:ind w:left="720"/>
        <w:rPr>
          <w:rFonts w:ascii="Arial" w:hAnsi="Arial" w:cs="Arial"/>
          <w:sz w:val="24"/>
          <w:szCs w:val="24"/>
          <w:lang w:val="en-US"/>
        </w:rPr>
      </w:pPr>
      <w:r>
        <w:rPr>
          <w:rFonts w:ascii="Arial" w:hAnsi="Arial" w:cs="Arial"/>
          <w:sz w:val="24"/>
          <w:szCs w:val="24"/>
          <w:lang w:val="en-US"/>
        </w:rPr>
        <w:t>Resistance to power is possible and it occurs in the form of “tactics”.</w:t>
      </w:r>
    </w:p>
    <w:p w:rsidR="0056343F" w:rsidRDefault="0056343F" w:rsidP="00F1126B">
      <w:pPr>
        <w:spacing w:after="0" w:line="240" w:lineRule="auto"/>
        <w:ind w:left="720"/>
        <w:rPr>
          <w:rFonts w:ascii="Arial" w:hAnsi="Arial" w:cs="Arial"/>
          <w:sz w:val="24"/>
          <w:szCs w:val="24"/>
          <w:lang w:val="en-US"/>
        </w:rPr>
      </w:pPr>
      <w:r>
        <w:rPr>
          <w:rFonts w:ascii="Arial" w:hAnsi="Arial" w:cs="Arial"/>
          <w:sz w:val="24"/>
          <w:szCs w:val="24"/>
          <w:lang w:val="en-US"/>
        </w:rPr>
        <w:t>This refers to the “art of the weak” that tends to “reappropriate the space organized by techniques of sociocultural production” (1984: xiv)</w:t>
      </w:r>
    </w:p>
    <w:p w:rsidR="0056343F" w:rsidRDefault="0056343F" w:rsidP="00F1126B">
      <w:pPr>
        <w:spacing w:after="0" w:line="240" w:lineRule="auto"/>
        <w:ind w:left="720"/>
        <w:rPr>
          <w:rFonts w:ascii="Arial" w:hAnsi="Arial" w:cs="Arial"/>
          <w:sz w:val="24"/>
          <w:szCs w:val="24"/>
          <w:lang w:val="en-US"/>
        </w:rPr>
      </w:pPr>
      <w:r>
        <w:rPr>
          <w:rFonts w:ascii="Arial" w:hAnsi="Arial" w:cs="Arial"/>
          <w:sz w:val="24"/>
          <w:szCs w:val="24"/>
          <w:lang w:val="en-US"/>
        </w:rPr>
        <w:t xml:space="preserve">This means that place is organized by power.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This is De Certeau’s model and it mainly refers to the association of law with the external source of sociocultural production and it concerns an individual’s disempowerment over the tactics of resistance.</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-In the Simpson’s case, resistance and power is conveyed. When Simpson was accused guilty, she resisted to fight for her rights since she is weak under the law with no determined case. The lawyers argued her case and successfully defeated it by bringing out that Simpson is an African American woman who works for a rich white woman and in her case dominance of power is an issue. The lawyers determined that the disempowered are left to formulate acts of resistance... This point of “disempowered are left to formulate acts of resistance” helped her case because it is common for people with no power to react with resistance under powerful rules and dominance.</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They (poor) see the process political ruling rather than legal, and they recognize the case in which they are “caught” is organized around personal power rather than neutral legal principles administered by impartial and disinterested experts. </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Welfare poor tend to encounter a formal legal structure more frequently than other groups in society.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They are less likely to incorporate into their legal consciousness an abstract view of law as “lofty, dignified, and impartial”.</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For groups like the welfare poor, there always categorized under the power and resistance.</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Their tactical challenges never “repel the power of law or the dominance of legal rules and practices”.</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Their insights are never considered to become a part of the structure or the practices in which the welfare poor are trapped in.</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-Ewick, Sarat, and Silbey suggest that at times, legal consciousness is shaped significantly by tactics of resistance as by the imposition of power.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Powerless people often adopt a counter-hegemonic view of the world.</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sidRPr="00BD5242">
        <w:rPr>
          <w:rFonts w:ascii="Arial" w:hAnsi="Arial" w:cs="Arial"/>
          <w:b/>
          <w:bCs/>
          <w:sz w:val="24"/>
          <w:szCs w:val="24"/>
          <w:lang w:val="en-US"/>
        </w:rPr>
        <w:t>Hegemonic view</w:t>
      </w:r>
      <w:r>
        <w:rPr>
          <w:rFonts w:ascii="Arial" w:hAnsi="Arial" w:cs="Arial"/>
          <w:sz w:val="24"/>
          <w:szCs w:val="24"/>
          <w:lang w:val="en-US"/>
        </w:rPr>
        <w:t xml:space="preserve">: it is sometimes referred to as resistance. No one is born as an extremist or radical, they are given much awareness and angles toward the subject and they often choose which side to stand on or to root for. </w:t>
      </w:r>
    </w:p>
    <w:p w:rsidR="0056343F" w:rsidRDefault="0056343F" w:rsidP="00F1126B">
      <w:pPr>
        <w:spacing w:after="0" w:line="240" w:lineRule="auto"/>
        <w:rPr>
          <w:rFonts w:ascii="Arial" w:hAnsi="Arial" w:cs="Arial"/>
          <w:sz w:val="24"/>
          <w:szCs w:val="24"/>
          <w:lang w:val="en-US"/>
        </w:rPr>
      </w:pPr>
    </w:p>
    <w:p w:rsidR="0056343F" w:rsidRPr="00BD5242" w:rsidRDefault="0056343F" w:rsidP="00F1126B">
      <w:pPr>
        <w:spacing w:after="0" w:line="240" w:lineRule="auto"/>
        <w:rPr>
          <w:rFonts w:ascii="Arial" w:hAnsi="Arial" w:cs="Arial"/>
          <w:b/>
          <w:bCs/>
          <w:sz w:val="24"/>
          <w:szCs w:val="24"/>
          <w:u w:val="single"/>
          <w:lang w:val="en-US"/>
        </w:rPr>
      </w:pPr>
      <w:r w:rsidRPr="00BD5242">
        <w:rPr>
          <w:rFonts w:ascii="Arial" w:hAnsi="Arial" w:cs="Arial"/>
          <w:b/>
          <w:bCs/>
          <w:sz w:val="24"/>
          <w:szCs w:val="24"/>
          <w:u w:val="single"/>
          <w:lang w:val="en-US"/>
        </w:rPr>
        <w:t>B. Communities of Meaning</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(The articles by Yngvesson and Greenhouse provide different set of answers to the question </w:t>
      </w:r>
      <w:r w:rsidRPr="00BD5242">
        <w:rPr>
          <w:rFonts w:ascii="Arial" w:hAnsi="Arial" w:cs="Arial"/>
          <w:sz w:val="24"/>
          <w:szCs w:val="24"/>
          <w:lang w:val="en-US"/>
        </w:rPr>
        <w:sym w:font="Wingdings" w:char="F0E0"/>
      </w:r>
      <w:r>
        <w:rPr>
          <w:rFonts w:ascii="Arial" w:hAnsi="Arial" w:cs="Arial"/>
          <w:sz w:val="24"/>
          <w:szCs w:val="24"/>
          <w:lang w:val="en-US"/>
        </w:rPr>
        <w:t xml:space="preserve">  How does law matter in the constitutions of legal consciousness?)</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*There is no author that that uses the term “legal consciousness”, but they explore the processes of the meaning that are shared in the social practices related to law.</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The difference between the model of Silbey, Sarat, and Ewick and by Greenhouse and Yngvesson is that----</w:t>
      </w:r>
      <w:r w:rsidRPr="00E42C68">
        <w:rPr>
          <w:rFonts w:ascii="Arial" w:hAnsi="Arial" w:cs="Arial"/>
          <w:sz w:val="24"/>
          <w:szCs w:val="24"/>
          <w:lang w:val="en-US"/>
        </w:rPr>
        <w:t xml:space="preserve"> </w:t>
      </w:r>
      <w:r>
        <w:rPr>
          <w:rFonts w:ascii="Arial" w:hAnsi="Arial" w:cs="Arial"/>
          <w:sz w:val="24"/>
          <w:szCs w:val="24"/>
          <w:lang w:val="en-US"/>
        </w:rPr>
        <w:t>Silbey, Sarat, and Ewick focus on the “resistance and power” while Greenhouse and Yngvesson focus on “</w:t>
      </w:r>
      <w:r w:rsidRPr="00CA2B16">
        <w:rPr>
          <w:rFonts w:ascii="Arial" w:hAnsi="Arial" w:cs="Arial"/>
          <w:b/>
          <w:bCs/>
          <w:sz w:val="24"/>
          <w:szCs w:val="24"/>
          <w:lang w:val="en-US"/>
        </w:rPr>
        <w:t>understanding the law and community which mutually constitute one another</w:t>
      </w:r>
      <w:r>
        <w:rPr>
          <w:rFonts w:ascii="Arial" w:hAnsi="Arial" w:cs="Arial"/>
          <w:sz w:val="24"/>
          <w:szCs w:val="24"/>
          <w:lang w:val="en-US"/>
        </w:rPr>
        <w:t>”.</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Legal officials, lawyers, clerks, and judges are important actors in legal institutions particularly in local courts.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Those actors are also litigants(accusers). The law is the only factor that exercises social control but there are some that are found in their “local opinion”.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-Greenhouse explores the interplay between the court and community in Hopewell, but he first focuses on the differing perspectives of the judge and the clerk of the Supreme Court.   </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“The legal consciousness continually shifts and changes as these proceeds of symbolic reaffirmation unfold.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This means that the insider of the community Hopewell, will often feel like they need to defend themselves from the outsiders and they will refer to materialistic things as “ours” and “theirs” to the outsiders.</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-Law matters is also a case where social change will lead to a transformation of consciousness. </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Yngvesson suggests that the clerk’s role is less symbolically than the trial judge.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-The clerk simply stands at the boundary between the legal system and the society of which it is a part of.</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-The clerk’s unique position operates with skill in legal matters (although he has no legal training) but he needs the understanding of Riverside’s culture and history.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-The clerk distinguishes which is worthy of legal handling from which is “garbage”. (Nonetheless, he needs the shared views and opinions of various local residents)</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 He then participates in the construction and reaffirmation of a particular set of cultural categories that determines what the community is and who belongs to it.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Yngvesson problematizes the concept of law and views on social (and legal) construction of the legal as part of the same process as the social construction of the community. Both aspects need to be studied.</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Law is not imposed on the people</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-Law does not need to be disputed by the clerks and the disputant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-Law has power, but it’s power is inseparable from the social context within it functions and the category of its meaning that could be interpreted within the legal institution and actors.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*clerk is most powerful when he is most connected with the local community</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“The law, a central symbol of power and social order, depends for its influence on the very culture it attempts to control.”</w:t>
      </w:r>
    </w:p>
    <w:p w:rsidR="0056343F" w:rsidRDefault="0056343F" w:rsidP="00F1126B">
      <w:pPr>
        <w:spacing w:after="0" w:line="240" w:lineRule="auto"/>
        <w:rPr>
          <w:rFonts w:ascii="Arial" w:hAnsi="Arial" w:cs="Arial"/>
          <w:sz w:val="24"/>
          <w:szCs w:val="24"/>
          <w:lang w:val="en-US"/>
        </w:rPr>
      </w:pPr>
    </w:p>
    <w:p w:rsidR="0056343F" w:rsidRPr="000F3BBB" w:rsidRDefault="0056343F" w:rsidP="00F1126B">
      <w:pPr>
        <w:spacing w:after="0" w:line="240" w:lineRule="auto"/>
        <w:rPr>
          <w:rFonts w:ascii="Arial" w:hAnsi="Arial" w:cs="Arial"/>
          <w:b/>
          <w:bCs/>
          <w:sz w:val="24"/>
          <w:szCs w:val="24"/>
          <w:u w:val="single"/>
          <w:lang w:val="en-US"/>
        </w:rPr>
      </w:pPr>
      <w:r w:rsidRPr="000F3BBB">
        <w:rPr>
          <w:rFonts w:ascii="Arial" w:hAnsi="Arial" w:cs="Arial"/>
          <w:b/>
          <w:bCs/>
          <w:sz w:val="24"/>
          <w:szCs w:val="24"/>
          <w:u w:val="single"/>
          <w:lang w:val="en-US"/>
        </w:rPr>
        <w:t>C. Summary</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How law Matters in the constitution of legal consciousness?</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Firstly, the power and resistance model sees law as significant because of its capacity to organize the categories, structure, meanings and practices which less powerful people must then negotiate as they attempt to reclaim some portion of the social space for their own.</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Secondly, the communities of meaning model see law as significant because of its symbolic centrality in the struggle among social groups to develop authoritative definitions of community, of social order and belonging, of appropriate behavior, and of law itself. </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-There is an overlap in the theoretical foundation of both approaches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 xml:space="preserve">-Legal consciousness can be understood in terms of legal aptitude or competence or in perceptions and images of the law </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-Writers who rely on Power and Resistance approach tend to emphasize on its substantive rules and procedures, and consciousness and they focus on knowledge and facility in using them.</w:t>
      </w: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-Writers who rely on Communities and Meanings tend to emphasize on its symbolic power and their research focuses on the ideas that people have about legal rules and institutions rather than the extent people are familiarized about the legal rules and institutions.</w:t>
      </w:r>
    </w:p>
    <w:p w:rsidR="0056343F" w:rsidRDefault="0056343F" w:rsidP="00F1126B">
      <w:pPr>
        <w:spacing w:after="0" w:line="240" w:lineRule="auto"/>
        <w:rPr>
          <w:rFonts w:ascii="Arial" w:hAnsi="Arial" w:cs="Arial"/>
          <w:sz w:val="24"/>
          <w:szCs w:val="24"/>
          <w:lang w:val="en-US"/>
        </w:rPr>
      </w:pPr>
    </w:p>
    <w:p w:rsidR="0056343F" w:rsidRDefault="0056343F" w:rsidP="00F1126B">
      <w:pPr>
        <w:spacing w:after="0" w:line="240" w:lineRule="auto"/>
        <w:rPr>
          <w:rFonts w:ascii="Arial" w:hAnsi="Arial" w:cs="Arial"/>
          <w:sz w:val="24"/>
          <w:szCs w:val="24"/>
          <w:lang w:val="en-US"/>
        </w:rPr>
      </w:pPr>
      <w:r>
        <w:rPr>
          <w:rFonts w:ascii="Arial" w:hAnsi="Arial" w:cs="Arial"/>
          <w:sz w:val="24"/>
          <w:szCs w:val="24"/>
          <w:lang w:val="en-US"/>
        </w:rPr>
        <w:t>Overall, the difference is that the Power and Resistance is about the knowledge and rights and the Communities and Meanings is about the values and attitudes.</w:t>
      </w:r>
    </w:p>
    <w:p w:rsidR="0056343F" w:rsidRPr="00F1126B" w:rsidRDefault="0056343F">
      <w:pPr>
        <w:rPr>
          <w:lang w:val="en-US"/>
        </w:rPr>
      </w:pPr>
    </w:p>
    <w:sectPr w:rsidR="0056343F" w:rsidRPr="00F1126B" w:rsidSect="009567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A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126B"/>
    <w:rsid w:val="000F3BBB"/>
    <w:rsid w:val="0025085C"/>
    <w:rsid w:val="00371F62"/>
    <w:rsid w:val="0056343F"/>
    <w:rsid w:val="00875AAE"/>
    <w:rsid w:val="00885085"/>
    <w:rsid w:val="008A3ED0"/>
    <w:rsid w:val="008F1510"/>
    <w:rsid w:val="009567C6"/>
    <w:rsid w:val="00BD5242"/>
    <w:rsid w:val="00C85356"/>
    <w:rsid w:val="00CA2B16"/>
    <w:rsid w:val="00E42C68"/>
    <w:rsid w:val="00F112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26B"/>
    <w:pPr>
      <w:spacing w:after="200" w:line="276" w:lineRule="auto"/>
    </w:pPr>
    <w:rPr>
      <w:rFonts w:cs="Calibri"/>
      <w:lang w:val="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1201</Words>
  <Characters>6847</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13/09/2012</dc:title>
  <dc:subject/>
  <dc:creator>Sylvia</dc:creator>
  <cp:keywords/>
  <dc:description/>
  <cp:lastModifiedBy>Elaine Elmhirst</cp:lastModifiedBy>
  <cp:revision>2</cp:revision>
  <dcterms:created xsi:type="dcterms:W3CDTF">2013-12-08T01:11:00Z</dcterms:created>
  <dcterms:modified xsi:type="dcterms:W3CDTF">2013-12-08T01:11:00Z</dcterms:modified>
</cp:coreProperties>
</file>