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087C" w:rsidRPr="002B087C" w:rsidRDefault="002B087C" w:rsidP="004C4D9C">
      <w:pPr>
        <w:widowControl w:val="0"/>
        <w:autoSpaceDE w:val="0"/>
        <w:autoSpaceDN w:val="0"/>
        <w:adjustRightInd w:val="0"/>
        <w:spacing w:after="320"/>
        <w:rPr>
          <w:rFonts w:ascii="Arial" w:hAnsi="Arial" w:cs="Arial"/>
          <w:sz w:val="32"/>
          <w:szCs w:val="32"/>
          <w:u w:val="single"/>
        </w:rPr>
      </w:pPr>
      <w:r w:rsidRPr="002B087C">
        <w:rPr>
          <w:rFonts w:ascii="Arial" w:hAnsi="Arial" w:cs="Arial"/>
          <w:sz w:val="32"/>
          <w:szCs w:val="32"/>
          <w:u w:val="single"/>
        </w:rPr>
        <w:t>Term Essay Construction</w:t>
      </w:r>
      <w:r>
        <w:rPr>
          <w:rFonts w:ascii="Arial" w:hAnsi="Arial" w:cs="Arial"/>
          <w:sz w:val="32"/>
          <w:szCs w:val="32"/>
          <w:u w:val="single"/>
        </w:rPr>
        <w:t xml:space="preserve"> Guideline Notes (and personal example)</w:t>
      </w:r>
    </w:p>
    <w:p w:rsidR="004C4D9C" w:rsidRDefault="004C4D9C" w:rsidP="004C4D9C">
      <w:pPr>
        <w:widowControl w:val="0"/>
        <w:autoSpaceDE w:val="0"/>
        <w:autoSpaceDN w:val="0"/>
        <w:adjustRightInd w:val="0"/>
        <w:spacing w:after="320"/>
        <w:rPr>
          <w:rFonts w:ascii="Arial" w:hAnsi="Arial" w:cs="Arial"/>
          <w:sz w:val="32"/>
          <w:szCs w:val="32"/>
        </w:rPr>
      </w:pPr>
      <w:r>
        <w:rPr>
          <w:rFonts w:ascii="Arial" w:hAnsi="Arial" w:cs="Arial"/>
          <w:sz w:val="32"/>
          <w:szCs w:val="32"/>
        </w:rPr>
        <w:t xml:space="preserve">When you write this last essay, keep in mind that it carries the heaviest weight of any of the four grading components (it is worth 40% of your final grade). Therefore, it is important that you give it the attention that it deserves. What do Cohen, </w:t>
      </w:r>
      <w:proofErr w:type="spellStart"/>
      <w:r>
        <w:rPr>
          <w:rFonts w:ascii="Arial" w:hAnsi="Arial" w:cs="Arial"/>
          <w:sz w:val="32"/>
          <w:szCs w:val="32"/>
        </w:rPr>
        <w:t>Kluegel</w:t>
      </w:r>
      <w:proofErr w:type="spellEnd"/>
      <w:r>
        <w:rPr>
          <w:rFonts w:ascii="Arial" w:hAnsi="Arial" w:cs="Arial"/>
          <w:sz w:val="32"/>
          <w:szCs w:val="32"/>
        </w:rPr>
        <w:t xml:space="preserve">, and Land say are the </w:t>
      </w:r>
      <w:r w:rsidRPr="00FB6AA7">
        <w:rPr>
          <w:rFonts w:ascii="Arial" w:hAnsi="Arial" w:cs="Arial"/>
          <w:sz w:val="32"/>
          <w:szCs w:val="32"/>
          <w:highlight w:val="yellow"/>
        </w:rPr>
        <w:t>five main risk factors for criminal victimization?</w:t>
      </w:r>
      <w:r>
        <w:rPr>
          <w:rFonts w:ascii="Arial" w:hAnsi="Arial" w:cs="Arial"/>
          <w:sz w:val="32"/>
          <w:szCs w:val="32"/>
        </w:rPr>
        <w:t xml:space="preserve"> What are the authors of this article saying is the </w:t>
      </w:r>
      <w:r w:rsidRPr="00FB6AA7">
        <w:rPr>
          <w:rFonts w:ascii="Arial" w:hAnsi="Arial" w:cs="Arial"/>
          <w:sz w:val="32"/>
          <w:szCs w:val="32"/>
          <w:highlight w:val="yellow"/>
        </w:rPr>
        <w:t>main cause of property crime?</w:t>
      </w:r>
      <w:r>
        <w:rPr>
          <w:rFonts w:ascii="Arial" w:hAnsi="Arial" w:cs="Arial"/>
          <w:sz w:val="32"/>
          <w:szCs w:val="32"/>
        </w:rPr>
        <w:t xml:space="preserve"> What do they say about </w:t>
      </w:r>
      <w:r w:rsidRPr="00FB6AA7">
        <w:rPr>
          <w:rFonts w:ascii="Arial" w:hAnsi="Arial" w:cs="Arial"/>
          <w:sz w:val="32"/>
          <w:szCs w:val="32"/>
          <w:highlight w:val="yellow"/>
        </w:rPr>
        <w:t>how guardianship is related to income level?</w:t>
      </w:r>
    </w:p>
    <w:p w:rsidR="004C4D9C" w:rsidRDefault="004C4D9C" w:rsidP="004C4D9C">
      <w:pPr>
        <w:rPr>
          <w:rFonts w:ascii="Arial" w:hAnsi="Arial" w:cs="Arial"/>
          <w:sz w:val="32"/>
          <w:szCs w:val="32"/>
        </w:rPr>
      </w:pPr>
      <w:r>
        <w:rPr>
          <w:rFonts w:ascii="Arial" w:hAnsi="Arial" w:cs="Arial"/>
          <w:sz w:val="32"/>
          <w:szCs w:val="32"/>
        </w:rPr>
        <w:t xml:space="preserve">After you have analyzed Cohen, </w:t>
      </w:r>
      <w:proofErr w:type="spellStart"/>
      <w:r>
        <w:rPr>
          <w:rFonts w:ascii="Arial" w:hAnsi="Arial" w:cs="Arial"/>
          <w:sz w:val="32"/>
          <w:szCs w:val="32"/>
        </w:rPr>
        <w:t>Kluegel</w:t>
      </w:r>
      <w:proofErr w:type="spellEnd"/>
      <w:r>
        <w:rPr>
          <w:rFonts w:ascii="Arial" w:hAnsi="Arial" w:cs="Arial"/>
          <w:sz w:val="32"/>
          <w:szCs w:val="32"/>
        </w:rPr>
        <w:t xml:space="preserve">, and Land’s article, you should show how it relates to the other course material. What do Sacco and Kennedy say in the textbook about guardianship, income levels and proximity (victims and offenders intersecting in time and space)? What does the </w:t>
      </w:r>
      <w:r>
        <w:rPr>
          <w:rFonts w:ascii="Arial" w:hAnsi="Arial" w:cs="Arial"/>
          <w:i/>
          <w:iCs/>
          <w:sz w:val="32"/>
          <w:szCs w:val="32"/>
        </w:rPr>
        <w:t>Study Guide</w:t>
      </w:r>
      <w:r>
        <w:rPr>
          <w:rFonts w:ascii="Arial" w:hAnsi="Arial" w:cs="Arial"/>
          <w:sz w:val="32"/>
          <w:szCs w:val="32"/>
        </w:rPr>
        <w:t xml:space="preserve"> say about these topics? Since this is the last essay, you may wish to demonstrate knowledge and understanding of other sections of the </w:t>
      </w:r>
      <w:r>
        <w:rPr>
          <w:rFonts w:ascii="Arial" w:hAnsi="Arial" w:cs="Arial"/>
          <w:i/>
          <w:iCs/>
          <w:sz w:val="32"/>
          <w:szCs w:val="32"/>
        </w:rPr>
        <w:t>Study Guide</w:t>
      </w:r>
      <w:r>
        <w:rPr>
          <w:rFonts w:ascii="Arial" w:hAnsi="Arial" w:cs="Arial"/>
          <w:sz w:val="32"/>
          <w:szCs w:val="32"/>
        </w:rPr>
        <w:t xml:space="preserve"> and textbook that deal with similar or related issues (e.g., anomie, routine activities, etc.).</w:t>
      </w:r>
    </w:p>
    <w:p w:rsidR="004C4D9C" w:rsidRDefault="004C4D9C" w:rsidP="004C4D9C">
      <w:pPr>
        <w:rPr>
          <w:rFonts w:ascii="Arial" w:hAnsi="Arial" w:cs="Arial"/>
          <w:sz w:val="32"/>
          <w:szCs w:val="32"/>
        </w:rPr>
      </w:pPr>
    </w:p>
    <w:p w:rsidR="004C4D9C" w:rsidRDefault="00B5729C" w:rsidP="004C4D9C">
      <w:hyperlink r:id="rId5" w:history="1">
        <w:r w:rsidR="004C4D9C" w:rsidRPr="00C46D66">
          <w:rPr>
            <w:rStyle w:val="Hyperlink"/>
          </w:rPr>
          <w:t>http://www.jstor.org/stable/2094935</w:t>
        </w:r>
      </w:hyperlink>
    </w:p>
    <w:p w:rsidR="004C4D9C" w:rsidRDefault="004C4D9C" w:rsidP="004C4D9C"/>
    <w:p w:rsidR="004113C9" w:rsidRDefault="004C4D9C" w:rsidP="004113C9">
      <w:pPr>
        <w:pStyle w:val="ListParagraph"/>
        <w:numPr>
          <w:ilvl w:val="0"/>
          <w:numId w:val="1"/>
        </w:numPr>
      </w:pPr>
      <w:r>
        <w:t xml:space="preserve">5 risk factors for criminal victimization: </w:t>
      </w:r>
      <w:r w:rsidR="00FB6AA7">
        <w:t>exposure, guardianship, proximity to potential offenders, attractiveness of potential targets, and definitional properties of specific crimes themselves</w:t>
      </w:r>
    </w:p>
    <w:p w:rsidR="004113C9" w:rsidRDefault="004113C9" w:rsidP="004113C9">
      <w:r w:rsidRPr="00E0199F">
        <w:rPr>
          <w:highlight w:val="yellow"/>
          <w:u w:val="single"/>
        </w:rPr>
        <w:t>Exposure</w:t>
      </w:r>
      <w:r w:rsidRPr="00E0199F">
        <w:rPr>
          <w:highlight w:val="yellow"/>
        </w:rPr>
        <w:t>:</w:t>
      </w:r>
      <w:r>
        <w:t xml:space="preserve"> the physical visibility and accessibility of persons or objects to potential offenders at any given time or place</w:t>
      </w:r>
    </w:p>
    <w:p w:rsidR="004113C9" w:rsidRDefault="004113C9" w:rsidP="004113C9">
      <w:r w:rsidRPr="00E0199F">
        <w:rPr>
          <w:highlight w:val="yellow"/>
          <w:u w:val="single"/>
        </w:rPr>
        <w:t>Proximity:</w:t>
      </w:r>
      <w:r>
        <w:t xml:space="preserve"> the physical distance between areas where potential targets of crime reside and areas where relatively large populations of potential offenders are found</w:t>
      </w:r>
    </w:p>
    <w:p w:rsidR="004113C9" w:rsidRDefault="004113C9" w:rsidP="004113C9">
      <w:r w:rsidRPr="00E0199F">
        <w:rPr>
          <w:highlight w:val="yellow"/>
          <w:u w:val="single"/>
        </w:rPr>
        <w:t>Guardianship:</w:t>
      </w:r>
      <w:r>
        <w:rPr>
          <w:u w:val="single"/>
        </w:rPr>
        <w:t xml:space="preserve"> </w:t>
      </w:r>
      <w:r>
        <w:t xml:space="preserve">the effectiveness of persons (e.g. housewives, </w:t>
      </w:r>
      <w:r w:rsidR="00C440FB">
        <w:t>neighbors</w:t>
      </w:r>
      <w:r>
        <w:t xml:space="preserve">, </w:t>
      </w:r>
      <w:r w:rsidR="00C440FB">
        <w:t xml:space="preserve">pedestrians, private security guards, law enforcement officers) or objects (e.g. </w:t>
      </w:r>
      <w:proofErr w:type="spellStart"/>
      <w:r w:rsidR="00C440FB">
        <w:t>burgular</w:t>
      </w:r>
      <w:proofErr w:type="spellEnd"/>
      <w:r w:rsidR="00C440FB">
        <w:t xml:space="preserve"> alarms, locks, barred windows) in preventing violations from occurring, either by their presence alone or by some sort of direct or indirect action.</w:t>
      </w:r>
    </w:p>
    <w:p w:rsidR="00C440FB" w:rsidRDefault="00C440FB" w:rsidP="004113C9">
      <w:r w:rsidRPr="00E0199F">
        <w:rPr>
          <w:highlight w:val="yellow"/>
          <w:u w:val="single"/>
        </w:rPr>
        <w:t>Target Attractiveness:</w:t>
      </w:r>
      <w:r>
        <w:t xml:space="preserve"> the material or symbolic desirability of persons or property targets to potential offenders, as well as the perceived inertia of a target against illegal treatment (i.e. the weight, size, and attached or locked features of property </w:t>
      </w:r>
      <w:r>
        <w:lastRenderedPageBreak/>
        <w:t xml:space="preserve">inhibiting its illegal removal and the physical capacity of persons of persons to resist attack). We further differentiate target attractiveness on the basis of whether the motivation to take action against a specific person or object is primarily instrumental (i.e. the act is a means </w:t>
      </w:r>
      <w:r w:rsidR="005950E0">
        <w:t xml:space="preserve">of acquiring something one desires) or expressive (i.e. the act of attacking a person or stealing property is the only reward sought in doing so). </w:t>
      </w:r>
      <w:bookmarkStart w:id="0" w:name="_GoBack"/>
      <w:bookmarkEnd w:id="0"/>
      <w:r>
        <w:t xml:space="preserve"> </w:t>
      </w:r>
    </w:p>
    <w:p w:rsidR="00811CF2" w:rsidRDefault="00E0199F" w:rsidP="004113C9">
      <w:r w:rsidRPr="00E0199F">
        <w:rPr>
          <w:highlight w:val="yellow"/>
          <w:u w:val="single"/>
        </w:rPr>
        <w:t>Definitional Properties of Specific Crimes:</w:t>
      </w:r>
      <w:r>
        <w:t xml:space="preserve"> the features of specific crimes that act to constrain strictly instrumental actions by potential offenders. For example, many larcenies are less difficult to commit and require less knowledge of victim routine activities than do burglaries. Such constraints limit the ability of potential burglary offenders to consistently act against targets that would maximize their economic gain, thus requiring them to seek out less attractive targets.</w:t>
      </w:r>
    </w:p>
    <w:p w:rsidR="00811CF2" w:rsidRDefault="007C7FAD" w:rsidP="00A11B05">
      <w:pPr>
        <w:pStyle w:val="ListParagraph"/>
        <w:numPr>
          <w:ilvl w:val="0"/>
          <w:numId w:val="2"/>
        </w:numPr>
      </w:pPr>
      <w:r>
        <w:t>Exposure. All else equal, an increase in exposure leads to an increase in victimization risk</w:t>
      </w:r>
    </w:p>
    <w:p w:rsidR="007C7FAD" w:rsidRDefault="007C7FAD" w:rsidP="00A11B05">
      <w:pPr>
        <w:pStyle w:val="ListParagraph"/>
        <w:numPr>
          <w:ilvl w:val="0"/>
          <w:numId w:val="2"/>
        </w:numPr>
      </w:pPr>
      <w:r>
        <w:t>Guardianship. All else equal, offenders prefer targets that are less well guarded to those that are more well-guarded. Therefore, the greater the guardianship, the less the risk of criminal victimization</w:t>
      </w:r>
    </w:p>
    <w:p w:rsidR="007C7FAD" w:rsidRDefault="007C7FAD" w:rsidP="00A11B05">
      <w:pPr>
        <w:pStyle w:val="ListParagraph"/>
        <w:numPr>
          <w:ilvl w:val="0"/>
          <w:numId w:val="2"/>
        </w:numPr>
      </w:pPr>
      <w:r>
        <w:t>Proximity. All else equal, the closer the residential proximity of potential targets to relatively large populations of motivated offenders, the greater the risk of criminal victimization</w:t>
      </w:r>
    </w:p>
    <w:p w:rsidR="007C7FAD" w:rsidRDefault="007C7FAD" w:rsidP="00A11B05">
      <w:pPr>
        <w:pStyle w:val="ListParagraph"/>
        <w:numPr>
          <w:ilvl w:val="0"/>
          <w:numId w:val="2"/>
        </w:numPr>
      </w:pPr>
      <w:r>
        <w:t>Being in spatial proximity to motivated offenders tends to increase the frequency of regular contact of offenders with potential victims and thus increases the opportunity for offenders to act against a potential victim and/or his/her property</w:t>
      </w:r>
    </w:p>
    <w:p w:rsidR="007C7FAD" w:rsidRDefault="007C7FAD" w:rsidP="00A11B05">
      <w:pPr>
        <w:pStyle w:val="ListParagraph"/>
        <w:numPr>
          <w:ilvl w:val="0"/>
          <w:numId w:val="2"/>
        </w:numPr>
      </w:pPr>
      <w:r>
        <w:t>Attractiveness. All else equal, if a crime</w:t>
      </w:r>
      <w:r w:rsidR="00D21E3C">
        <w:t xml:space="preserve"> is motivated by instrumental ends, the greater the attractiveness of a target, the greater the risk of victimization</w:t>
      </w:r>
    </w:p>
    <w:p w:rsidR="00D21E3C" w:rsidRDefault="00485CDA" w:rsidP="00A11B05">
      <w:pPr>
        <w:pStyle w:val="ListParagraph"/>
        <w:numPr>
          <w:ilvl w:val="0"/>
          <w:numId w:val="2"/>
        </w:numPr>
      </w:pPr>
      <w:r>
        <w:t>In the aggregate, property crime is substantially the result of instrumental motives. We do not deny that property crime may also be motivated by expressive ends (thrill-seeking, peer-group acceptance, etc); all that is needed for this assumption to be applicable, however, is for one to grant that a significant percentage of property crime is committed primarily for economic gain</w:t>
      </w:r>
    </w:p>
    <w:p w:rsidR="00485CDA" w:rsidRPr="004113C9" w:rsidRDefault="00485CDA" w:rsidP="00A11B05">
      <w:pPr>
        <w:pStyle w:val="ListParagraph"/>
        <w:numPr>
          <w:ilvl w:val="0"/>
          <w:numId w:val="2"/>
        </w:numPr>
      </w:pPr>
      <w:r>
        <w:t>Properties of Crimes. The strength of the partial effects of exposure, guardianship, and proximity on victimization risk depends</w:t>
      </w:r>
      <w:r w:rsidR="002B7F7D">
        <w:t xml:space="preserve"> upon the degree to which properties of crimes themselves constrain strictly instrumental action. Specifically, the more constrained strictly instrumental action is, the stronger will be the effects of exposure, guardianship, and proximity on victimization risk relative to the effect of target attractiveness </w:t>
      </w:r>
    </w:p>
    <w:sectPr w:rsidR="00485CDA" w:rsidRPr="004113C9" w:rsidSect="000316C4">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AE61CE"/>
    <w:multiLevelType w:val="hybridMultilevel"/>
    <w:tmpl w:val="AE206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C35435"/>
    <w:multiLevelType w:val="hybridMultilevel"/>
    <w:tmpl w:val="58287B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useFELayout/>
  </w:compat>
  <w:rsids>
    <w:rsidRoot w:val="004C4D9C"/>
    <w:rsid w:val="000316C4"/>
    <w:rsid w:val="002B087C"/>
    <w:rsid w:val="002B7F7D"/>
    <w:rsid w:val="00352CDC"/>
    <w:rsid w:val="004113C9"/>
    <w:rsid w:val="00485CDA"/>
    <w:rsid w:val="004C4D9C"/>
    <w:rsid w:val="005950E0"/>
    <w:rsid w:val="00793E21"/>
    <w:rsid w:val="007C7FAD"/>
    <w:rsid w:val="00811CF2"/>
    <w:rsid w:val="00A11B05"/>
    <w:rsid w:val="00B5729C"/>
    <w:rsid w:val="00C440FB"/>
    <w:rsid w:val="00D21E3C"/>
    <w:rsid w:val="00E0199F"/>
    <w:rsid w:val="00FB6AA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CD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4D9C"/>
    <w:rPr>
      <w:color w:val="0000FF" w:themeColor="hyperlink"/>
      <w:u w:val="single"/>
    </w:rPr>
  </w:style>
  <w:style w:type="paragraph" w:styleId="ListParagraph">
    <w:name w:val="List Paragraph"/>
    <w:basedOn w:val="Normal"/>
    <w:uiPriority w:val="34"/>
    <w:qFormat/>
    <w:rsid w:val="004C4D9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4D9C"/>
    <w:rPr>
      <w:color w:val="0000FF" w:themeColor="hyperlink"/>
      <w:u w:val="single"/>
    </w:rPr>
  </w:style>
  <w:style w:type="paragraph" w:styleId="ListParagraph">
    <w:name w:val="List Paragraph"/>
    <w:basedOn w:val="Normal"/>
    <w:uiPriority w:val="34"/>
    <w:qFormat/>
    <w:rsid w:val="004C4D9C"/>
    <w:pPr>
      <w:ind w:left="720"/>
      <w:contextualSpacing/>
    </w:pPr>
  </w:style>
</w:styles>
</file>

<file path=word/webSettings.xml><?xml version="1.0" encoding="utf-8"?>
<w:webSettings xmlns:r="http://schemas.openxmlformats.org/officeDocument/2006/relationships" xmlns:w="http://schemas.openxmlformats.org/wordprocessingml/2006/main">
  <w:relyOnVML/>
  <w:allowPNG/>
  <w:doNotSaveAsSingleFile/>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jstor.org/stable/209493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1</Pages>
  <Words>724</Words>
  <Characters>4129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Simon Fraser University</Company>
  <LinksUpToDate>false</LinksUpToDate>
  <CharactersWithSpaces>4844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 Services</dc:creator>
  <cp:keywords/>
  <dc:description/>
  <cp:lastModifiedBy>Imran Tipu</cp:lastModifiedBy>
  <cp:revision>5</cp:revision>
  <dcterms:created xsi:type="dcterms:W3CDTF">2013-07-23T00:02:00Z</dcterms:created>
  <dcterms:modified xsi:type="dcterms:W3CDTF">2013-12-04T16:49:00Z</dcterms:modified>
</cp:coreProperties>
</file>