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FBCD7" w14:textId="68A0F7B3" w:rsidR="008079E7" w:rsidRDefault="007F613B" w:rsidP="00216205">
      <w:pPr>
        <w:spacing w:line="480" w:lineRule="auto"/>
        <w:jc w:val="center"/>
        <w:outlineLvl w:val="0"/>
      </w:pPr>
      <w:bookmarkStart w:id="0" w:name="_GoBack"/>
      <w:bookmarkEnd w:id="0"/>
      <w:r>
        <w:t xml:space="preserve">Affirming </w:t>
      </w:r>
      <w:r w:rsidR="00216205">
        <w:t>A</w:t>
      </w:r>
      <w:r w:rsidR="00C543D2">
        <w:t xml:space="preserve">ffirmative </w:t>
      </w:r>
      <w:r w:rsidR="00216205">
        <w:t>A</w:t>
      </w:r>
      <w:r w:rsidR="00C543D2">
        <w:t>ction</w:t>
      </w:r>
    </w:p>
    <w:p w14:paraId="38DC3901" w14:textId="6D98755E" w:rsidR="00154AB7" w:rsidRDefault="007F613B" w:rsidP="007F613B">
      <w:pPr>
        <w:spacing w:line="480" w:lineRule="auto"/>
      </w:pPr>
      <w:r>
        <w:tab/>
      </w:r>
      <w:r w:rsidR="00216205">
        <w:t>Affirmative Action</w:t>
      </w:r>
      <w:r w:rsidR="00E756B3">
        <w:t xml:space="preserve"> (AA)</w:t>
      </w:r>
      <w:r>
        <w:t xml:space="preserve"> is </w:t>
      </w:r>
      <w:r w:rsidR="00C543D2">
        <w:t>a frequently</w:t>
      </w:r>
      <w:r>
        <w:t xml:space="preserve"> misunderstood initiative, as is reflected in the common rhetoric, </w:t>
      </w:r>
      <w:r w:rsidR="008340CB">
        <w:t xml:space="preserve">much of </w:t>
      </w:r>
      <w:r>
        <w:t>the literature</w:t>
      </w:r>
      <w:r w:rsidR="008340CB">
        <w:t>,</w:t>
      </w:r>
      <w:r>
        <w:t xml:space="preserve"> and often the media. While it is true that the result of these policies is </w:t>
      </w:r>
      <w:r w:rsidR="00676493">
        <w:t xml:space="preserve">the </w:t>
      </w:r>
      <w:r w:rsidR="00E9360F">
        <w:t>improvement</w:t>
      </w:r>
      <w:r w:rsidR="00676493">
        <w:t xml:space="preserve"> of</w:t>
      </w:r>
      <w:r w:rsidR="00E9360F">
        <w:t xml:space="preserve"> advantage for</w:t>
      </w:r>
      <w:r>
        <w:t xml:space="preserve"> some people over others</w:t>
      </w:r>
      <w:r w:rsidR="00154AB7">
        <w:t xml:space="preserve"> in certain circumstances</w:t>
      </w:r>
      <w:r>
        <w:t xml:space="preserve">, it is commonly held that they give </w:t>
      </w:r>
      <w:r w:rsidRPr="007F613B">
        <w:rPr>
          <w:i/>
        </w:rPr>
        <w:t>unfair</w:t>
      </w:r>
      <w:r>
        <w:rPr>
          <w:i/>
        </w:rPr>
        <w:t xml:space="preserve"> </w:t>
      </w:r>
      <w:r>
        <w:t xml:space="preserve">advantage. This essay will argue that </w:t>
      </w:r>
      <w:r w:rsidR="00216205">
        <w:rPr>
          <w:i/>
        </w:rPr>
        <w:t>AA</w:t>
      </w:r>
      <w:r w:rsidRPr="00F5718C">
        <w:rPr>
          <w:i/>
        </w:rPr>
        <w:t xml:space="preserve"> </w:t>
      </w:r>
      <w:r w:rsidR="00154AB7" w:rsidRPr="00F5718C">
        <w:rPr>
          <w:i/>
        </w:rPr>
        <w:t>is a fair and effective means of providing at least a minimal redressal of systemic inequalities</w:t>
      </w:r>
      <w:r w:rsidR="00154AB7">
        <w:t>.</w:t>
      </w:r>
      <w:r w:rsidR="00F5718C">
        <w:t xml:space="preserve"> I will compare and contrast</w:t>
      </w:r>
      <w:r w:rsidR="006D6C6E">
        <w:t xml:space="preserve"> the </w:t>
      </w:r>
      <w:r w:rsidR="00DC206D">
        <w:t>differing</w:t>
      </w:r>
      <w:r w:rsidR="006D6C6E">
        <w:t xml:space="preserve"> definitions</w:t>
      </w:r>
      <w:r w:rsidR="00F5718C">
        <w:t xml:space="preserve"> of </w:t>
      </w:r>
      <w:r w:rsidR="00216205">
        <w:t>AA</w:t>
      </w:r>
      <w:r w:rsidR="00F5718C">
        <w:t xml:space="preserve">, </w:t>
      </w:r>
      <w:r w:rsidR="00E9360F">
        <w:t xml:space="preserve">present my argument for AA as being fair and in everyone’s best interests, and finally I will </w:t>
      </w:r>
      <w:r w:rsidR="00F5718C">
        <w:t xml:space="preserve">address the most common </w:t>
      </w:r>
      <w:r w:rsidR="006C2899">
        <w:t>objections as raised by Louis P. Pojman</w:t>
      </w:r>
      <w:r w:rsidR="00E9360F">
        <w:t>.</w:t>
      </w:r>
    </w:p>
    <w:p w14:paraId="7383BE57" w14:textId="5A9D5FEB" w:rsidR="0003472D" w:rsidRDefault="00154AB7" w:rsidP="007F613B">
      <w:pPr>
        <w:spacing w:line="480" w:lineRule="auto"/>
      </w:pPr>
      <w:r>
        <w:tab/>
      </w:r>
      <w:r w:rsidR="0003472D">
        <w:t>So</w:t>
      </w:r>
      <w:r w:rsidR="00994C44">
        <w:t>,</w:t>
      </w:r>
      <w:r w:rsidR="0003472D">
        <w:t xml:space="preserve"> what is </w:t>
      </w:r>
      <w:r w:rsidR="00216205">
        <w:t>AA</w:t>
      </w:r>
      <w:r w:rsidR="0003472D">
        <w:t>? The answer may seem obvious, but much has changed since its inception and many of the opinions available on the subject seem to be based in outdated understandings. I will examine three definitions h</w:t>
      </w:r>
      <w:r w:rsidR="00342BB2">
        <w:t>ere; ending with the one that, in my opinion,</w:t>
      </w:r>
      <w:r w:rsidR="0003472D">
        <w:t xml:space="preserve"> correctly encompasses </w:t>
      </w:r>
      <w:r w:rsidR="007F513A">
        <w:t xml:space="preserve">the goals of </w:t>
      </w:r>
      <w:r w:rsidR="00216205">
        <w:t>AA</w:t>
      </w:r>
      <w:r w:rsidR="008340CB">
        <w:t xml:space="preserve"> and my argument as to why</w:t>
      </w:r>
      <w:r w:rsidR="007F513A">
        <w:t>.</w:t>
      </w:r>
    </w:p>
    <w:p w14:paraId="202A0DC9" w14:textId="04C4450E" w:rsidR="007F613B" w:rsidRPr="007F513A" w:rsidRDefault="0003472D" w:rsidP="007F513A">
      <w:pPr>
        <w:pStyle w:val="ListParagraph"/>
        <w:numPr>
          <w:ilvl w:val="0"/>
          <w:numId w:val="1"/>
        </w:numPr>
        <w:spacing w:line="480" w:lineRule="auto"/>
        <w:rPr>
          <w:rFonts w:ascii="Cambria" w:hAnsi="Cambria"/>
        </w:rPr>
      </w:pPr>
      <w:r>
        <w:t xml:space="preserve">According to the Stanford Encyclopedia of Philosophy, </w:t>
      </w:r>
      <w:r w:rsidR="00216205">
        <w:t>AA</w:t>
      </w:r>
      <w:r>
        <w:t xml:space="preserve"> </w:t>
      </w:r>
      <w:r w:rsidRPr="007F513A">
        <w:rPr>
          <w:rFonts w:ascii="Cambria" w:hAnsi="Cambria"/>
        </w:rPr>
        <w:t>“</w:t>
      </w:r>
      <w:r w:rsidRPr="007F513A">
        <w:rPr>
          <w:rFonts w:ascii="Cambria" w:hAnsi="Cambria" w:cs="Times"/>
        </w:rPr>
        <w:t>means positive steps taken to increase the representation of women and minorities in areas of employment, education, and business from which they have been historically excluded” (</w:t>
      </w:r>
      <w:r w:rsidR="007F513A" w:rsidRPr="007F513A">
        <w:rPr>
          <w:rFonts w:ascii="Cambria" w:hAnsi="Cambria" w:cs="Times"/>
        </w:rPr>
        <w:t>Fulwinder 2002:1)</w:t>
      </w:r>
      <w:r w:rsidRPr="007F513A">
        <w:rPr>
          <w:rFonts w:ascii="Cambria" w:hAnsi="Cambria" w:cs="Times"/>
        </w:rPr>
        <w:t>.</w:t>
      </w:r>
      <w:r w:rsidRPr="007F513A">
        <w:rPr>
          <w:rFonts w:ascii="Cambria" w:hAnsi="Cambria"/>
        </w:rPr>
        <w:t xml:space="preserve"> </w:t>
      </w:r>
    </w:p>
    <w:p w14:paraId="085FAD5E" w14:textId="4E3F33A1" w:rsidR="007F513A" w:rsidRDefault="007F513A" w:rsidP="007F513A">
      <w:pPr>
        <w:pStyle w:val="ListParagraph"/>
        <w:numPr>
          <w:ilvl w:val="0"/>
          <w:numId w:val="1"/>
        </w:numPr>
        <w:spacing w:line="480" w:lineRule="auto"/>
        <w:rPr>
          <w:rFonts w:ascii="Cambria" w:hAnsi="Cambria"/>
        </w:rPr>
      </w:pPr>
      <w:r>
        <w:rPr>
          <w:rFonts w:ascii="Cambria" w:hAnsi="Cambria"/>
        </w:rPr>
        <w:t xml:space="preserve">Louis P. Pojman makes a distinction between Weak and Strong </w:t>
      </w:r>
      <w:r w:rsidR="00216205">
        <w:rPr>
          <w:rFonts w:ascii="Cambria" w:hAnsi="Cambria"/>
        </w:rPr>
        <w:t>AA</w:t>
      </w:r>
      <w:r>
        <w:rPr>
          <w:rFonts w:ascii="Cambria" w:hAnsi="Cambria"/>
        </w:rPr>
        <w:t xml:space="preserve">. He argues </w:t>
      </w:r>
      <w:r w:rsidR="00995ABA">
        <w:rPr>
          <w:rFonts w:ascii="Cambria" w:hAnsi="Cambria"/>
        </w:rPr>
        <w:t xml:space="preserve">primarily </w:t>
      </w:r>
      <w:r>
        <w:rPr>
          <w:rFonts w:ascii="Cambria" w:hAnsi="Cambria"/>
        </w:rPr>
        <w:t>against the latter</w:t>
      </w:r>
      <w:r w:rsidR="00995ABA">
        <w:rPr>
          <w:rFonts w:ascii="Cambria" w:hAnsi="Cambria"/>
        </w:rPr>
        <w:t xml:space="preserve"> (to a lesser extent he argues against both)</w:t>
      </w:r>
      <w:r>
        <w:rPr>
          <w:rFonts w:ascii="Cambria" w:hAnsi="Cambria"/>
        </w:rPr>
        <w:t xml:space="preserve">, which he defines as “preferential treatment on the basis of race, ethnicity or gender (or some other morally irrelevant criterion), discriminating in favo(u)r of </w:t>
      </w:r>
      <w:r>
        <w:rPr>
          <w:rFonts w:ascii="Cambria" w:hAnsi="Cambria"/>
        </w:rPr>
        <w:lastRenderedPageBreak/>
        <w:t>underrepresented groups against overrepresented groups, aiming at roughly equal results” (</w:t>
      </w:r>
      <w:r w:rsidR="00A56760">
        <w:rPr>
          <w:rFonts w:ascii="Cambria" w:hAnsi="Cambria"/>
        </w:rPr>
        <w:t>LaFollette 2007:474)</w:t>
      </w:r>
    </w:p>
    <w:p w14:paraId="481A15B2" w14:textId="696B9125" w:rsidR="00994C44" w:rsidRDefault="00994C44" w:rsidP="007F513A">
      <w:pPr>
        <w:pStyle w:val="ListParagraph"/>
        <w:numPr>
          <w:ilvl w:val="0"/>
          <w:numId w:val="1"/>
        </w:numPr>
        <w:spacing w:line="480" w:lineRule="auto"/>
        <w:rPr>
          <w:rFonts w:ascii="Cambria" w:hAnsi="Cambria"/>
        </w:rPr>
      </w:pPr>
      <w:r>
        <w:rPr>
          <w:rFonts w:ascii="Cambria" w:hAnsi="Cambria"/>
        </w:rPr>
        <w:t xml:space="preserve">Luke Charles Harris and Uma Narayan offer </w:t>
      </w:r>
      <w:r w:rsidR="008A0F7B">
        <w:rPr>
          <w:rFonts w:ascii="Cambria" w:hAnsi="Cambria"/>
        </w:rPr>
        <w:t>a</w:t>
      </w:r>
      <w:r>
        <w:rPr>
          <w:rFonts w:ascii="Cambria" w:hAnsi="Cambria"/>
        </w:rPr>
        <w:t xml:space="preserve"> considerably more nuanced analysis of </w:t>
      </w:r>
      <w:r w:rsidR="00216205">
        <w:rPr>
          <w:rFonts w:ascii="Cambria" w:hAnsi="Cambria"/>
        </w:rPr>
        <w:t>AA</w:t>
      </w:r>
      <w:r>
        <w:rPr>
          <w:rFonts w:ascii="Cambria" w:hAnsi="Cambria"/>
        </w:rPr>
        <w:t xml:space="preserve"> policies “as attempts to </w:t>
      </w:r>
      <w:r w:rsidR="00B72687" w:rsidRPr="00B72687">
        <w:rPr>
          <w:rFonts w:ascii="Cambria" w:hAnsi="Cambria"/>
          <w:i/>
        </w:rPr>
        <w:t>equalize opportunity</w:t>
      </w:r>
      <w:r w:rsidR="00B72687">
        <w:rPr>
          <w:rFonts w:ascii="Cambria" w:hAnsi="Cambria"/>
        </w:rPr>
        <w:t xml:space="preserve"> for groups of people who confront ongoing forms of institutional discrimination and a lack of equal opportunity” (LaFollette 2007:492).</w:t>
      </w:r>
    </w:p>
    <w:p w14:paraId="61483016" w14:textId="1D9DAF8B" w:rsidR="0053633C" w:rsidRDefault="00B72687" w:rsidP="00B72687">
      <w:pPr>
        <w:tabs>
          <w:tab w:val="left" w:pos="0"/>
        </w:tabs>
        <w:spacing w:line="480" w:lineRule="auto"/>
        <w:rPr>
          <w:rFonts w:ascii="Cambria" w:hAnsi="Cambria"/>
        </w:rPr>
      </w:pPr>
      <w:r>
        <w:rPr>
          <w:rFonts w:ascii="Cambria" w:hAnsi="Cambria"/>
        </w:rPr>
        <w:tab/>
        <w:t>It is interesting that the Stanford Encyclopedia of Philosophy carries the above definition</w:t>
      </w:r>
      <w:r w:rsidR="00A73B44">
        <w:rPr>
          <w:rFonts w:ascii="Cambria" w:hAnsi="Cambria"/>
        </w:rPr>
        <w:t xml:space="preserve">. The citation that I am using </w:t>
      </w:r>
      <w:r>
        <w:rPr>
          <w:rFonts w:ascii="Cambria" w:hAnsi="Cambria"/>
        </w:rPr>
        <w:t>here is dated 2002 but it carries through into current revisions dated for wi</w:t>
      </w:r>
      <w:r w:rsidR="00995ABA">
        <w:rPr>
          <w:rFonts w:ascii="Cambria" w:hAnsi="Cambria"/>
        </w:rPr>
        <w:t>nter of 2011. Granted, at its i</w:t>
      </w:r>
      <w:r>
        <w:rPr>
          <w:rFonts w:ascii="Cambria" w:hAnsi="Cambria"/>
        </w:rPr>
        <w:t>nception</w:t>
      </w:r>
      <w:r w:rsidR="00995ABA">
        <w:rPr>
          <w:rFonts w:ascii="Cambria" w:hAnsi="Cambria"/>
        </w:rPr>
        <w:t>,</w:t>
      </w:r>
      <w:r>
        <w:rPr>
          <w:rFonts w:ascii="Cambria" w:hAnsi="Cambria"/>
        </w:rPr>
        <w:t xml:space="preserve"> </w:t>
      </w:r>
      <w:r w:rsidR="00216205">
        <w:rPr>
          <w:rFonts w:ascii="Cambria" w:hAnsi="Cambria"/>
        </w:rPr>
        <w:t>AA</w:t>
      </w:r>
      <w:r>
        <w:rPr>
          <w:rFonts w:ascii="Cambria" w:hAnsi="Cambria"/>
        </w:rPr>
        <w:t xml:space="preserve"> would have been well represented by this definition. </w:t>
      </w:r>
      <w:r w:rsidR="0053633C">
        <w:rPr>
          <w:rFonts w:ascii="Cambria" w:hAnsi="Cambria"/>
        </w:rPr>
        <w:t xml:space="preserve">As policies are rolled out in the real world, however, certain problems arise with this definition. Feminist theory and examination of privilege has led to </w:t>
      </w:r>
      <w:r w:rsidR="00891C6C">
        <w:rPr>
          <w:rFonts w:ascii="Cambria" w:hAnsi="Cambria"/>
        </w:rPr>
        <w:t>more thorough analyses of how to</w:t>
      </w:r>
      <w:r w:rsidR="0053633C">
        <w:rPr>
          <w:rFonts w:ascii="Cambria" w:hAnsi="Cambria"/>
        </w:rPr>
        <w:t xml:space="preserve"> assess issues of equality and access.</w:t>
      </w:r>
      <w:r w:rsidR="00891C6C">
        <w:rPr>
          <w:rFonts w:ascii="Cambria" w:hAnsi="Cambria"/>
        </w:rPr>
        <w:t xml:space="preserve"> </w:t>
      </w:r>
    </w:p>
    <w:p w14:paraId="3FEBC671" w14:textId="774BD9F0" w:rsidR="0053633C" w:rsidRDefault="0053633C" w:rsidP="00B72687">
      <w:pPr>
        <w:tabs>
          <w:tab w:val="left" w:pos="0"/>
        </w:tabs>
        <w:spacing w:line="480" w:lineRule="auto"/>
        <w:rPr>
          <w:rFonts w:ascii="Cambria" w:hAnsi="Cambria"/>
        </w:rPr>
      </w:pPr>
      <w:r>
        <w:rPr>
          <w:rFonts w:ascii="Cambria" w:hAnsi="Cambria"/>
        </w:rPr>
        <w:tab/>
      </w:r>
      <w:r w:rsidR="00B72687">
        <w:rPr>
          <w:rFonts w:ascii="Cambria" w:hAnsi="Cambria"/>
        </w:rPr>
        <w:t>Thos</w:t>
      </w:r>
      <w:r w:rsidR="00EE7DA1">
        <w:rPr>
          <w:rFonts w:ascii="Cambria" w:hAnsi="Cambria"/>
        </w:rPr>
        <w:t>e who misunderstand or feel</w:t>
      </w:r>
      <w:r w:rsidR="00B72687">
        <w:rPr>
          <w:rFonts w:ascii="Cambria" w:hAnsi="Cambria"/>
        </w:rPr>
        <w:t xml:space="preserve"> threatened by </w:t>
      </w:r>
      <w:r w:rsidR="00B27A45">
        <w:rPr>
          <w:rFonts w:ascii="Cambria" w:hAnsi="Cambria"/>
        </w:rPr>
        <w:t>AA</w:t>
      </w:r>
      <w:r>
        <w:rPr>
          <w:rFonts w:ascii="Cambria" w:hAnsi="Cambria"/>
        </w:rPr>
        <w:t xml:space="preserve"> policies</w:t>
      </w:r>
      <w:r w:rsidR="00B72687">
        <w:rPr>
          <w:rFonts w:ascii="Cambria" w:hAnsi="Cambria"/>
        </w:rPr>
        <w:t xml:space="preserve"> </w:t>
      </w:r>
      <w:r w:rsidR="00EE7DA1">
        <w:rPr>
          <w:rFonts w:ascii="Cambria" w:hAnsi="Cambria"/>
        </w:rPr>
        <w:t>often</w:t>
      </w:r>
      <w:r>
        <w:rPr>
          <w:rFonts w:ascii="Cambria" w:hAnsi="Cambria"/>
        </w:rPr>
        <w:t xml:space="preserve"> </w:t>
      </w:r>
      <w:r w:rsidR="00EE7DA1">
        <w:rPr>
          <w:rFonts w:ascii="Cambria" w:hAnsi="Cambria"/>
        </w:rPr>
        <w:t>tend</w:t>
      </w:r>
      <w:r w:rsidR="00B72687">
        <w:rPr>
          <w:rFonts w:ascii="Cambria" w:hAnsi="Cambria"/>
        </w:rPr>
        <w:t xml:space="preserve"> to subscribe to Pojman’s definition</w:t>
      </w:r>
      <w:r w:rsidR="00EE7DA1">
        <w:rPr>
          <w:rFonts w:ascii="Cambria" w:hAnsi="Cambria"/>
        </w:rPr>
        <w:t xml:space="preserve"> or one like it</w:t>
      </w:r>
      <w:r>
        <w:rPr>
          <w:rFonts w:ascii="Cambria" w:hAnsi="Cambria"/>
        </w:rPr>
        <w:t>. The key word</w:t>
      </w:r>
      <w:r w:rsidR="00EE7DA1">
        <w:rPr>
          <w:rFonts w:ascii="Cambria" w:hAnsi="Cambria"/>
        </w:rPr>
        <w:t>s in his definition seem to be “preferential</w:t>
      </w:r>
      <w:r>
        <w:rPr>
          <w:rFonts w:ascii="Cambria" w:hAnsi="Cambria"/>
        </w:rPr>
        <w:t>”</w:t>
      </w:r>
      <w:r w:rsidR="00EE7DA1">
        <w:rPr>
          <w:rFonts w:ascii="Cambria" w:hAnsi="Cambria"/>
        </w:rPr>
        <w:t xml:space="preserve"> and “discriminating.” With these</w:t>
      </w:r>
      <w:r>
        <w:rPr>
          <w:rFonts w:ascii="Cambria" w:hAnsi="Cambria"/>
        </w:rPr>
        <w:t xml:space="preserve"> word</w:t>
      </w:r>
      <w:r w:rsidR="00EE7DA1">
        <w:rPr>
          <w:rFonts w:ascii="Cambria" w:hAnsi="Cambria"/>
        </w:rPr>
        <w:t>s</w:t>
      </w:r>
      <w:r>
        <w:rPr>
          <w:rFonts w:ascii="Cambria" w:hAnsi="Cambria"/>
        </w:rPr>
        <w:t xml:space="preserve"> he is loading his definition with a judgment about the justifications for </w:t>
      </w:r>
      <w:r w:rsidR="00216205">
        <w:rPr>
          <w:rFonts w:ascii="Cambria" w:hAnsi="Cambria"/>
        </w:rPr>
        <w:t>AA</w:t>
      </w:r>
      <w:r>
        <w:rPr>
          <w:rFonts w:ascii="Cambria" w:hAnsi="Cambria"/>
        </w:rPr>
        <w:t xml:space="preserve"> policies. </w:t>
      </w:r>
      <w:r w:rsidR="007E2829">
        <w:rPr>
          <w:rFonts w:ascii="Cambria" w:hAnsi="Cambria"/>
        </w:rPr>
        <w:t>In both cases his choice of words represents an appeal to the readers emotions. He seems to be speaking primarily to a reader who</w:t>
      </w:r>
      <w:r w:rsidR="00591776">
        <w:rPr>
          <w:rFonts w:ascii="Cambria" w:hAnsi="Cambria"/>
        </w:rPr>
        <w:t>,</w:t>
      </w:r>
      <w:r w:rsidR="007E2829">
        <w:rPr>
          <w:rFonts w:ascii="Cambria" w:hAnsi="Cambria"/>
        </w:rPr>
        <w:t xml:space="preserve"> he assumes</w:t>
      </w:r>
      <w:r w:rsidR="00591776">
        <w:rPr>
          <w:rFonts w:ascii="Cambria" w:hAnsi="Cambria"/>
        </w:rPr>
        <w:t>,</w:t>
      </w:r>
      <w:r w:rsidR="007E2829">
        <w:rPr>
          <w:rFonts w:ascii="Cambria" w:hAnsi="Cambria"/>
        </w:rPr>
        <w:t xml:space="preserve"> shares his opinion. </w:t>
      </w:r>
      <w:r>
        <w:rPr>
          <w:rFonts w:ascii="Cambria" w:hAnsi="Cambria"/>
        </w:rPr>
        <w:t>We shall return to Pojm</w:t>
      </w:r>
      <w:r w:rsidR="00591776">
        <w:rPr>
          <w:rFonts w:ascii="Cambria" w:hAnsi="Cambria"/>
        </w:rPr>
        <w:t>an and his arguments</w:t>
      </w:r>
      <w:r>
        <w:rPr>
          <w:rFonts w:ascii="Cambria" w:hAnsi="Cambria"/>
        </w:rPr>
        <w:t>.</w:t>
      </w:r>
    </w:p>
    <w:p w14:paraId="27DF54DF" w14:textId="7D3B67E0" w:rsidR="00296E23" w:rsidRDefault="0053633C" w:rsidP="00B72687">
      <w:pPr>
        <w:tabs>
          <w:tab w:val="left" w:pos="0"/>
        </w:tabs>
        <w:spacing w:line="480" w:lineRule="auto"/>
        <w:rPr>
          <w:rFonts w:ascii="Cambria" w:hAnsi="Cambria"/>
        </w:rPr>
      </w:pPr>
      <w:r>
        <w:rPr>
          <w:rFonts w:ascii="Cambria" w:hAnsi="Cambria"/>
        </w:rPr>
        <w:tab/>
        <w:t xml:space="preserve">The key </w:t>
      </w:r>
      <w:r w:rsidR="00591776">
        <w:rPr>
          <w:rFonts w:ascii="Cambria" w:hAnsi="Cambria"/>
        </w:rPr>
        <w:t>factor in</w:t>
      </w:r>
      <w:r>
        <w:rPr>
          <w:rFonts w:ascii="Cambria" w:hAnsi="Cambria"/>
        </w:rPr>
        <w:t xml:space="preserve"> the definition offered by Harris and Narayan is its inclusiveness. The difference between it and the other two </w:t>
      </w:r>
      <w:r w:rsidR="004B64E7">
        <w:rPr>
          <w:rFonts w:ascii="Cambria" w:hAnsi="Cambria"/>
        </w:rPr>
        <w:t>renderings is that there is no mention of race, gender, class or other morally irrelevant factors.</w:t>
      </w:r>
      <w:r w:rsidR="00296E23">
        <w:rPr>
          <w:rFonts w:ascii="Cambria" w:hAnsi="Cambria"/>
        </w:rPr>
        <w:t xml:space="preserve"> This makes all the difference in determining exactly what </w:t>
      </w:r>
      <w:r w:rsidR="00216205">
        <w:rPr>
          <w:rFonts w:ascii="Cambria" w:hAnsi="Cambria"/>
        </w:rPr>
        <w:t>AA</w:t>
      </w:r>
      <w:r w:rsidR="00296E23">
        <w:rPr>
          <w:rFonts w:ascii="Cambria" w:hAnsi="Cambria"/>
        </w:rPr>
        <w:t xml:space="preserve"> is for. It is not about race or gender. It is about identifying groups who are excluded from opportunities due to systemic inequality and implementing solutions to grant them access</w:t>
      </w:r>
      <w:r w:rsidR="00591776">
        <w:rPr>
          <w:rFonts w:ascii="Cambria" w:hAnsi="Cambria"/>
        </w:rPr>
        <w:t xml:space="preserve"> to those opportunities</w:t>
      </w:r>
      <w:r w:rsidR="00296E23">
        <w:rPr>
          <w:rFonts w:ascii="Cambria" w:hAnsi="Cambria"/>
        </w:rPr>
        <w:t>. Granted, applied to the modern western world, this seems to implicate women and ethnic minorities as the beneficiaries of such policies, but not exclusively so.</w:t>
      </w:r>
    </w:p>
    <w:p w14:paraId="744876FB" w14:textId="6F656011" w:rsidR="00B72687" w:rsidRDefault="00296E23" w:rsidP="00B72687">
      <w:pPr>
        <w:tabs>
          <w:tab w:val="left" w:pos="0"/>
        </w:tabs>
        <w:spacing w:line="480" w:lineRule="auto"/>
        <w:rPr>
          <w:rFonts w:ascii="Cambria" w:hAnsi="Cambria"/>
        </w:rPr>
      </w:pPr>
      <w:r>
        <w:rPr>
          <w:rFonts w:ascii="Cambria" w:hAnsi="Cambria"/>
        </w:rPr>
        <w:tab/>
        <w:t>I will illustrate the importance of this difference of definition from two perspectives: my lived experience and potential future systemic inequalities. In my case, I am a 33-year-old undergraduate. I dropped out of high school at a</w:t>
      </w:r>
      <w:r w:rsidR="00A73B44">
        <w:rPr>
          <w:rFonts w:ascii="Cambria" w:hAnsi="Cambria"/>
        </w:rPr>
        <w:t>ge 17 with a low grade-</w:t>
      </w:r>
      <w:r w:rsidR="00167FDE">
        <w:rPr>
          <w:rFonts w:ascii="Cambria" w:hAnsi="Cambria"/>
        </w:rPr>
        <w:t>average. For me to return to the education system would have required an enormous investment in time, money</w:t>
      </w:r>
      <w:r w:rsidR="00A73151">
        <w:rPr>
          <w:rFonts w:ascii="Cambria" w:hAnsi="Cambria"/>
        </w:rPr>
        <w:t>,</w:t>
      </w:r>
      <w:r w:rsidR="00167FDE">
        <w:rPr>
          <w:rFonts w:ascii="Cambria" w:hAnsi="Cambria"/>
        </w:rPr>
        <w:t xml:space="preserve"> and energy</w:t>
      </w:r>
      <w:r w:rsidR="00D4078C">
        <w:rPr>
          <w:rFonts w:ascii="Cambria" w:hAnsi="Cambria"/>
        </w:rPr>
        <w:t>;</w:t>
      </w:r>
      <w:r w:rsidR="00167FDE">
        <w:rPr>
          <w:rFonts w:ascii="Cambria" w:hAnsi="Cambria"/>
        </w:rPr>
        <w:t xml:space="preserve"> if not for an </w:t>
      </w:r>
      <w:r w:rsidR="00216205">
        <w:rPr>
          <w:rFonts w:ascii="Cambria" w:hAnsi="Cambria"/>
        </w:rPr>
        <w:t>AA</w:t>
      </w:r>
      <w:r w:rsidR="00167FDE">
        <w:rPr>
          <w:rFonts w:ascii="Cambria" w:hAnsi="Cambria"/>
        </w:rPr>
        <w:t xml:space="preserve"> policy at </w:t>
      </w:r>
      <w:r w:rsidR="00167FDE" w:rsidRPr="00167FDE">
        <w:rPr>
          <w:rFonts w:ascii="Cambria" w:hAnsi="Cambria"/>
        </w:rPr>
        <w:t>Carleton University</w:t>
      </w:r>
      <w:r w:rsidR="00167FDE">
        <w:rPr>
          <w:rFonts w:ascii="Cambria" w:hAnsi="Cambria"/>
        </w:rPr>
        <w:t>. While maintaining a full time job, I would have had to undertake ni</w:t>
      </w:r>
      <w:r w:rsidR="00241E77">
        <w:rPr>
          <w:rFonts w:ascii="Cambria" w:hAnsi="Cambria"/>
        </w:rPr>
        <w:t>ght school courses to make up a</w:t>
      </w:r>
      <w:r w:rsidR="00167FDE">
        <w:rPr>
          <w:rFonts w:ascii="Cambria" w:hAnsi="Cambria"/>
        </w:rPr>
        <w:t xml:space="preserve"> remaining nine credits. Since I am a parent, this would mean unacceptable sacrifices of family time if I wanted to get it done quickly. Carleton and York are the only universities in Canada offering what they call a “Bridging Program.” This was originally started as an </w:t>
      </w:r>
      <w:r w:rsidR="00216205">
        <w:rPr>
          <w:rFonts w:ascii="Cambria" w:hAnsi="Cambria"/>
        </w:rPr>
        <w:t>AA</w:t>
      </w:r>
      <w:r w:rsidR="00167FDE">
        <w:rPr>
          <w:rFonts w:ascii="Cambria" w:hAnsi="Cambria"/>
        </w:rPr>
        <w:t xml:space="preserve"> program to provide adult women with a path back into the education stream in </w:t>
      </w:r>
      <w:r w:rsidR="00C674D6">
        <w:rPr>
          <w:rFonts w:ascii="Cambria" w:hAnsi="Cambria"/>
        </w:rPr>
        <w:t>recognition of the systemic inequalities faced by many women.</w:t>
      </w:r>
      <w:r w:rsidR="00167FDE">
        <w:rPr>
          <w:rFonts w:ascii="Cambria" w:hAnsi="Cambria"/>
        </w:rPr>
        <w:t xml:space="preserve"> In recent years, as the new definition of </w:t>
      </w:r>
      <w:r w:rsidR="00216205">
        <w:rPr>
          <w:rFonts w:ascii="Cambria" w:hAnsi="Cambria"/>
        </w:rPr>
        <w:t>AA</w:t>
      </w:r>
      <w:r w:rsidR="00167FDE">
        <w:rPr>
          <w:rFonts w:ascii="Cambria" w:hAnsi="Cambria"/>
        </w:rPr>
        <w:t xml:space="preserve"> has been adopted and applied, the program was opened up to men, as well. Thus I, a white male from a working class background who faced certain social disadvantages compared to middle class white people, was able to benefit from policies of </w:t>
      </w:r>
      <w:r w:rsidR="00216205">
        <w:rPr>
          <w:rFonts w:ascii="Cambria" w:hAnsi="Cambria"/>
        </w:rPr>
        <w:t>AA</w:t>
      </w:r>
      <w:r w:rsidR="00167FDE">
        <w:rPr>
          <w:rFonts w:ascii="Cambria" w:hAnsi="Cambria"/>
        </w:rPr>
        <w:t>.</w:t>
      </w:r>
    </w:p>
    <w:p w14:paraId="1C29870E" w14:textId="120B51D8" w:rsidR="00167FDE" w:rsidRDefault="00167FDE" w:rsidP="00B72687">
      <w:pPr>
        <w:tabs>
          <w:tab w:val="left" w:pos="0"/>
        </w:tabs>
        <w:spacing w:line="480" w:lineRule="auto"/>
        <w:rPr>
          <w:rFonts w:ascii="Cambria" w:hAnsi="Cambria"/>
        </w:rPr>
      </w:pPr>
      <w:r>
        <w:rPr>
          <w:rFonts w:ascii="Cambria" w:hAnsi="Cambria"/>
        </w:rPr>
        <w:tab/>
        <w:t>The other illustration I will use is based on a fearful and racist message that has been popularly forwarded by email amongst</w:t>
      </w:r>
      <w:r w:rsidR="00591776">
        <w:rPr>
          <w:rFonts w:ascii="Cambria" w:hAnsi="Cambria"/>
        </w:rPr>
        <w:t xml:space="preserve"> people I know, and which is </w:t>
      </w:r>
      <w:r>
        <w:rPr>
          <w:rFonts w:ascii="Cambria" w:hAnsi="Cambria"/>
        </w:rPr>
        <w:t xml:space="preserve">similar </w:t>
      </w:r>
      <w:r w:rsidR="00591776">
        <w:rPr>
          <w:rFonts w:ascii="Cambria" w:hAnsi="Cambria"/>
        </w:rPr>
        <w:t xml:space="preserve">to </w:t>
      </w:r>
      <w:r>
        <w:rPr>
          <w:rFonts w:ascii="Cambria" w:hAnsi="Cambria"/>
        </w:rPr>
        <w:t>messages</w:t>
      </w:r>
      <w:r w:rsidR="00591776">
        <w:rPr>
          <w:rFonts w:ascii="Cambria" w:hAnsi="Cambria"/>
        </w:rPr>
        <w:t xml:space="preserve"> I have seen represented</w:t>
      </w:r>
      <w:r w:rsidR="007528FD">
        <w:rPr>
          <w:rFonts w:ascii="Cambria" w:hAnsi="Cambria"/>
        </w:rPr>
        <w:t xml:space="preserve"> on television. It is the</w:t>
      </w:r>
      <w:r>
        <w:rPr>
          <w:rFonts w:ascii="Cambria" w:hAnsi="Cambria"/>
        </w:rPr>
        <w:t xml:space="preserve"> idea that </w:t>
      </w:r>
      <w:r w:rsidR="00591776">
        <w:rPr>
          <w:rFonts w:ascii="Cambria" w:hAnsi="Cambria"/>
        </w:rPr>
        <w:t xml:space="preserve">at </w:t>
      </w:r>
      <w:r>
        <w:rPr>
          <w:rFonts w:ascii="Cambria" w:hAnsi="Cambria"/>
        </w:rPr>
        <w:t xml:space="preserve">some time in the near future white people will become a minority in North America. </w:t>
      </w:r>
      <w:r w:rsidR="00A73742">
        <w:rPr>
          <w:rFonts w:ascii="Cambria" w:hAnsi="Cambria"/>
        </w:rPr>
        <w:t>Of course</w:t>
      </w:r>
      <w:r w:rsidR="00591776">
        <w:rPr>
          <w:rFonts w:ascii="Cambria" w:hAnsi="Cambria"/>
        </w:rPr>
        <w:t>,</w:t>
      </w:r>
      <w:r w:rsidR="00A73742">
        <w:rPr>
          <w:rFonts w:ascii="Cambria" w:hAnsi="Cambria"/>
        </w:rPr>
        <w:t xml:space="preserve"> it is true that most of the world is made up of non-white people and, as North American birthrates decline and we encourage immigration to shore up our labour force, it </w:t>
      </w:r>
      <w:r w:rsidR="00591776">
        <w:rPr>
          <w:rFonts w:ascii="Cambria" w:hAnsi="Cambria"/>
        </w:rPr>
        <w:t>is perhaps</w:t>
      </w:r>
      <w:r w:rsidR="00A73742">
        <w:rPr>
          <w:rFonts w:ascii="Cambria" w:hAnsi="Cambria"/>
        </w:rPr>
        <w:t xml:space="preserve"> inevitable that one day this will come to fruition. It seems to follow qu</w:t>
      </w:r>
      <w:r w:rsidR="00591776">
        <w:rPr>
          <w:rFonts w:ascii="Cambria" w:hAnsi="Cambria"/>
        </w:rPr>
        <w:t>ite rationally from this that the white majority</w:t>
      </w:r>
      <w:r w:rsidR="00A73742">
        <w:rPr>
          <w:rFonts w:ascii="Cambria" w:hAnsi="Cambria"/>
        </w:rPr>
        <w:t xml:space="preserve"> should laud and encourage policies aimed a</w:t>
      </w:r>
      <w:r w:rsidR="00591776">
        <w:rPr>
          <w:rFonts w:ascii="Cambria" w:hAnsi="Cambria"/>
        </w:rPr>
        <w:t>t promoting systemic equality, since we could soon find ourselves in need of such equitable treatment.</w:t>
      </w:r>
    </w:p>
    <w:p w14:paraId="2D8DE201" w14:textId="209B32DD" w:rsidR="00D4078C" w:rsidRDefault="00D4078C" w:rsidP="00B72687">
      <w:pPr>
        <w:tabs>
          <w:tab w:val="left" w:pos="0"/>
        </w:tabs>
        <w:spacing w:line="480" w:lineRule="auto"/>
        <w:rPr>
          <w:rFonts w:ascii="Cambria" w:hAnsi="Cambria"/>
        </w:rPr>
      </w:pPr>
      <w:r>
        <w:rPr>
          <w:rFonts w:ascii="Cambria" w:hAnsi="Cambria"/>
        </w:rPr>
        <w:tab/>
        <w:t>Feminism has undergone a similar trans</w:t>
      </w:r>
      <w:r w:rsidR="00862853">
        <w:rPr>
          <w:rFonts w:ascii="Cambria" w:hAnsi="Cambria"/>
        </w:rPr>
        <w:t>formation in its own definition</w:t>
      </w:r>
      <w:r>
        <w:rPr>
          <w:rFonts w:ascii="Cambria" w:hAnsi="Cambria"/>
        </w:rPr>
        <w:t>. Initially, it was the goal of feminism to achieve equality for women. As the issue was investigated more deeply,</w:t>
      </w:r>
      <w:r w:rsidR="0012262B">
        <w:rPr>
          <w:rFonts w:ascii="Cambria" w:hAnsi="Cambria"/>
        </w:rPr>
        <w:t xml:space="preserve"> “feminist thinkers began to talk about the way in which patriarchy was harmful to </w:t>
      </w:r>
      <w:r w:rsidR="00FF729B">
        <w:rPr>
          <w:rFonts w:ascii="Cambria" w:hAnsi="Cambria"/>
        </w:rPr>
        <w:t>men” (hooks 2000:68). bell h</w:t>
      </w:r>
      <w:r>
        <w:rPr>
          <w:rFonts w:ascii="Cambria" w:hAnsi="Cambria"/>
        </w:rPr>
        <w:t xml:space="preserve">ooks, a prominent feminist theorist, offers the observation that under patriarchy men </w:t>
      </w:r>
      <w:r w:rsidR="0012262B">
        <w:rPr>
          <w:rFonts w:ascii="Cambria" w:hAnsi="Cambria"/>
        </w:rPr>
        <w:t>are socialized to oppress women</w:t>
      </w:r>
      <w:r w:rsidR="002D17E9">
        <w:rPr>
          <w:rFonts w:ascii="Cambria" w:hAnsi="Cambria"/>
        </w:rPr>
        <w:t xml:space="preserve"> and conform to a constructed  “sexist masculine identity” (</w:t>
      </w:r>
      <w:r w:rsidR="00B43554">
        <w:rPr>
          <w:rFonts w:ascii="Cambria" w:hAnsi="Cambria"/>
        </w:rPr>
        <w:t>2000:</w:t>
      </w:r>
      <w:r w:rsidR="002D17E9">
        <w:rPr>
          <w:rFonts w:ascii="Cambria" w:hAnsi="Cambria"/>
        </w:rPr>
        <w:t>68)</w:t>
      </w:r>
      <w:r>
        <w:rPr>
          <w:rFonts w:ascii="Cambria" w:hAnsi="Cambria"/>
        </w:rPr>
        <w:t>. She suggests a new definition of feminism as “</w:t>
      </w:r>
      <w:r w:rsidR="00241E77">
        <w:rPr>
          <w:rFonts w:ascii="Cambria" w:hAnsi="Cambria"/>
        </w:rPr>
        <w:t>a movement to end sexism, sexist exploitation, and</w:t>
      </w:r>
      <w:r w:rsidR="00FF729B">
        <w:rPr>
          <w:rFonts w:ascii="Cambria" w:hAnsi="Cambria"/>
        </w:rPr>
        <w:t xml:space="preserve"> oppression” (h</w:t>
      </w:r>
      <w:r>
        <w:rPr>
          <w:rFonts w:ascii="Cambria" w:hAnsi="Cambria"/>
        </w:rPr>
        <w:t xml:space="preserve">ooks </w:t>
      </w:r>
      <w:r w:rsidR="002D17E9">
        <w:rPr>
          <w:rFonts w:ascii="Cambria" w:hAnsi="Cambria"/>
        </w:rPr>
        <w:t>2000:1</w:t>
      </w:r>
      <w:r>
        <w:rPr>
          <w:rFonts w:ascii="Cambria" w:hAnsi="Cambria"/>
        </w:rPr>
        <w:t xml:space="preserve">). The revision removes the gendered aspect of the language, similar to the revision to </w:t>
      </w:r>
      <w:r w:rsidR="00216205">
        <w:rPr>
          <w:rFonts w:ascii="Cambria" w:hAnsi="Cambria"/>
        </w:rPr>
        <w:t>AA</w:t>
      </w:r>
      <w:r>
        <w:rPr>
          <w:rFonts w:ascii="Cambria" w:hAnsi="Cambria"/>
        </w:rPr>
        <w:t xml:space="preserve">. Feminism, like </w:t>
      </w:r>
      <w:r w:rsidR="00216205">
        <w:rPr>
          <w:rFonts w:ascii="Cambria" w:hAnsi="Cambria"/>
        </w:rPr>
        <w:t>AA</w:t>
      </w:r>
      <w:r>
        <w:rPr>
          <w:rFonts w:ascii="Cambria" w:hAnsi="Cambria"/>
        </w:rPr>
        <w:t>, is for everybody.</w:t>
      </w:r>
    </w:p>
    <w:p w14:paraId="08E237FD" w14:textId="288844CC" w:rsidR="00B559A6" w:rsidRDefault="00A73742" w:rsidP="00B72687">
      <w:pPr>
        <w:tabs>
          <w:tab w:val="left" w:pos="0"/>
        </w:tabs>
        <w:spacing w:line="480" w:lineRule="auto"/>
        <w:rPr>
          <w:rFonts w:ascii="Cambria" w:hAnsi="Cambria"/>
        </w:rPr>
      </w:pPr>
      <w:r>
        <w:rPr>
          <w:rFonts w:ascii="Cambria" w:hAnsi="Cambria"/>
        </w:rPr>
        <w:tab/>
      </w:r>
      <w:r w:rsidR="00997C15">
        <w:rPr>
          <w:rFonts w:ascii="Cambria" w:hAnsi="Cambria"/>
        </w:rPr>
        <w:t xml:space="preserve">Now we come to the issue of systemic inequality. What does this mean? </w:t>
      </w:r>
      <w:r w:rsidR="00DE49F2">
        <w:rPr>
          <w:rFonts w:ascii="Cambria" w:hAnsi="Cambria"/>
        </w:rPr>
        <w:t xml:space="preserve">Simply put, the social organization and cultural norms tend to favour certain groups over others. In our society (and much of the world) it is white, Christian, English-speaking, cisgendered men who benefit from structural arrangements. I will illustrate a few key points to reinforce this. Women are </w:t>
      </w:r>
      <w:r w:rsidR="000D12A9">
        <w:rPr>
          <w:rFonts w:ascii="Cambria" w:hAnsi="Cambria"/>
        </w:rPr>
        <w:t>socialized differently from men. Misbehaviour in boys is often overlooked or dismissed under the mantra “boys will be boys” while the behavior of girls tends to be closely scrutinized. Boys learn from this that they can be assertive and experimental while girls learn to be more tentative and affirmation-seeking. This echoes into adulthood, as it becomes culturally expected for women to express certain behaviours and men to express others. A male supervisor who is assertive with his employees will often be regarded as a good manager who is just doing what he has to do to keep order and operate the business efficiently. A woman who displays the same characteristics in a position of authority will be labeled a “bitch.” Further, since women are child bearers, there is a real cost associated with hiring women. If a woman becomes pregnant</w:t>
      </w:r>
      <w:r w:rsidR="003932AB">
        <w:rPr>
          <w:rFonts w:ascii="Cambria" w:hAnsi="Cambria"/>
        </w:rPr>
        <w:t>,</w:t>
      </w:r>
      <w:r w:rsidR="000D12A9">
        <w:rPr>
          <w:rFonts w:ascii="Cambria" w:hAnsi="Cambria"/>
        </w:rPr>
        <w:t xml:space="preserve"> her employer will incur expenses to accommodate the pregnancy while she takes maternity leave. This is just a meager sampling of the structural inequalities faced by women. The issue goes much deeper, having its roots in the deepest history of humanity. In </w:t>
      </w:r>
      <w:r w:rsidR="00DA7AEA">
        <w:rPr>
          <w:rFonts w:ascii="Cambria" w:hAnsi="Cambria"/>
        </w:rPr>
        <w:t xml:space="preserve">some of </w:t>
      </w:r>
      <w:r w:rsidR="000D12A9">
        <w:rPr>
          <w:rFonts w:ascii="Cambria" w:hAnsi="Cambria"/>
        </w:rPr>
        <w:t xml:space="preserve">our very oldest writings we can find the kind of heavy sexism that has coloured our perception of women right into the modern era. </w:t>
      </w:r>
      <w:r w:rsidR="0029149E">
        <w:rPr>
          <w:rFonts w:ascii="Cambria" w:hAnsi="Cambria"/>
        </w:rPr>
        <w:t>The works of Aristotle are peppered with claims like: “The association of husband and wife is clearly an aristocracy. The man rules by virtue of merit, and in the sphere that is his by right… If the husband exerts control over everything… he is… not in conformity with his own superiority” (Aristotle 2004:218)</w:t>
      </w:r>
      <w:r w:rsidR="00720C9D">
        <w:rPr>
          <w:rFonts w:ascii="Cambria" w:hAnsi="Cambria"/>
        </w:rPr>
        <w:t>.</w:t>
      </w:r>
      <w:r w:rsidR="00222F56">
        <w:rPr>
          <w:rFonts w:ascii="Cambria" w:hAnsi="Cambria"/>
        </w:rPr>
        <w:t xml:space="preserve"> </w:t>
      </w:r>
    </w:p>
    <w:p w14:paraId="1DE34A4C" w14:textId="40779F05" w:rsidR="00A73742" w:rsidRDefault="00B559A6" w:rsidP="00B72687">
      <w:pPr>
        <w:tabs>
          <w:tab w:val="left" w:pos="0"/>
        </w:tabs>
        <w:spacing w:line="480" w:lineRule="auto"/>
        <w:rPr>
          <w:rFonts w:ascii="Cambria" w:hAnsi="Cambria"/>
        </w:rPr>
      </w:pPr>
      <w:r>
        <w:rPr>
          <w:rFonts w:ascii="Cambria" w:hAnsi="Cambria"/>
        </w:rPr>
        <w:tab/>
      </w:r>
      <w:r w:rsidR="00222F56">
        <w:rPr>
          <w:rFonts w:ascii="Cambria" w:hAnsi="Cambria"/>
        </w:rPr>
        <w:t>Similarly, the rhetoric of racism has tainted the commo</w:t>
      </w:r>
      <w:r w:rsidR="00457379">
        <w:rPr>
          <w:rFonts w:ascii="Cambria" w:hAnsi="Cambria"/>
        </w:rPr>
        <w:t>n perception of human equality</w:t>
      </w:r>
      <w:r w:rsidR="00222F56">
        <w:rPr>
          <w:rFonts w:ascii="Cambria" w:hAnsi="Cambria"/>
        </w:rPr>
        <w:t xml:space="preserve">. </w:t>
      </w:r>
      <w:r>
        <w:rPr>
          <w:rFonts w:ascii="Cambria" w:hAnsi="Cambria"/>
        </w:rPr>
        <w:t xml:space="preserve">It is only in recent decades that biology and anthropology have empirically demonstrated the equality of persons of different ethnicities. The historical </w:t>
      </w:r>
      <w:r w:rsidR="006B2FA4">
        <w:rPr>
          <w:rFonts w:ascii="Cambria" w:hAnsi="Cambria"/>
        </w:rPr>
        <w:t>attitudes toward (and treatment of) people of colour by whites have</w:t>
      </w:r>
      <w:r>
        <w:rPr>
          <w:rFonts w:ascii="Cambria" w:hAnsi="Cambria"/>
        </w:rPr>
        <w:t xml:space="preserve"> left us with a legacy of oppression</w:t>
      </w:r>
      <w:r w:rsidR="006B2FA4">
        <w:rPr>
          <w:rFonts w:ascii="Cambria" w:hAnsi="Cambria"/>
        </w:rPr>
        <w:t xml:space="preserve">. This has created a circular problem </w:t>
      </w:r>
      <w:r w:rsidR="0099010C">
        <w:rPr>
          <w:rFonts w:ascii="Cambria" w:hAnsi="Cambria"/>
        </w:rPr>
        <w:t>analyzed</w:t>
      </w:r>
      <w:r w:rsidR="006B2FA4">
        <w:rPr>
          <w:rFonts w:ascii="Cambria" w:hAnsi="Cambria"/>
        </w:rPr>
        <w:t xml:space="preserve"> by sociologists a</w:t>
      </w:r>
      <w:r w:rsidR="0099010C">
        <w:rPr>
          <w:rFonts w:ascii="Cambria" w:hAnsi="Cambria"/>
        </w:rPr>
        <w:t xml:space="preserve">nd outlined in </w:t>
      </w:r>
      <w:r w:rsidR="006B2FA4">
        <w:rPr>
          <w:rFonts w:ascii="Cambria" w:hAnsi="Cambria"/>
        </w:rPr>
        <w:t xml:space="preserve">Social Reproduction Theory. </w:t>
      </w:r>
    </w:p>
    <w:p w14:paraId="4F04383A" w14:textId="2B9EB8DA" w:rsidR="00BE0FE7" w:rsidRDefault="00BE0FE7" w:rsidP="00B72687">
      <w:pPr>
        <w:tabs>
          <w:tab w:val="left" w:pos="0"/>
        </w:tabs>
        <w:spacing w:line="480" w:lineRule="auto"/>
        <w:rPr>
          <w:rFonts w:ascii="Cambria" w:hAnsi="Cambria"/>
        </w:rPr>
      </w:pPr>
      <w:r>
        <w:rPr>
          <w:rFonts w:ascii="Cambria" w:hAnsi="Cambria"/>
        </w:rPr>
        <w:tab/>
        <w:t xml:space="preserve">Social Reproduction Theory attempts to explain the reality that very few people overcome their class limitations. The children of working class families tend to end up in working class jobs, regardless of their individual </w:t>
      </w:r>
      <w:r w:rsidR="00457379">
        <w:rPr>
          <w:rFonts w:ascii="Cambria" w:hAnsi="Cambria"/>
        </w:rPr>
        <w:t>potential</w:t>
      </w:r>
      <w:r>
        <w:rPr>
          <w:rFonts w:ascii="Cambria" w:hAnsi="Cambria"/>
        </w:rPr>
        <w:t xml:space="preserve"> and aspiration. The reasons for this </w:t>
      </w:r>
      <w:r w:rsidR="000B6096">
        <w:rPr>
          <w:rFonts w:ascii="Cambria" w:hAnsi="Cambria"/>
        </w:rPr>
        <w:t xml:space="preserve">circular pattern are diverse and drastically different for identifiable groups within </w:t>
      </w:r>
      <w:r w:rsidR="00AF5DA1">
        <w:rPr>
          <w:rFonts w:ascii="Cambria" w:hAnsi="Cambria"/>
        </w:rPr>
        <w:t xml:space="preserve">each class, but the end result is the same. When an individual sees their place in the world in limited aspect, they tend to accept that the boundaries to their success are insurmountable. This is a highly simplified summary, but it will suffice for the scope of this paper. The result is that entire communities are trapped in a cycle of poverty and oppression with little or </w:t>
      </w:r>
      <w:r w:rsidR="009D4F4D">
        <w:rPr>
          <w:rFonts w:ascii="Cambria" w:hAnsi="Cambria"/>
        </w:rPr>
        <w:t>no political enfranchisement</w:t>
      </w:r>
      <w:r w:rsidR="00A7234E">
        <w:rPr>
          <w:rFonts w:ascii="Cambria" w:hAnsi="Cambria"/>
        </w:rPr>
        <w:t xml:space="preserve"> or social mobility</w:t>
      </w:r>
      <w:r w:rsidR="00634B48">
        <w:rPr>
          <w:rFonts w:ascii="Cambria" w:hAnsi="Cambria"/>
        </w:rPr>
        <w:t>.</w:t>
      </w:r>
    </w:p>
    <w:p w14:paraId="18C8AB87" w14:textId="748F9784" w:rsidR="00C45E4E" w:rsidRDefault="00C45E4E" w:rsidP="00B72687">
      <w:pPr>
        <w:tabs>
          <w:tab w:val="left" w:pos="0"/>
        </w:tabs>
        <w:spacing w:line="480" w:lineRule="auto"/>
        <w:rPr>
          <w:rFonts w:ascii="Cambria" w:hAnsi="Cambria"/>
        </w:rPr>
      </w:pPr>
      <w:r>
        <w:rPr>
          <w:rFonts w:ascii="Cambria" w:hAnsi="Cambria"/>
        </w:rPr>
        <w:tab/>
        <w:t>Sociologist Jay Macleod published a highly acclaimed ethnography after four years living and working with teenagers in a low-income American neighbourhood. In that time he studied two distinct groups of boys</w:t>
      </w:r>
      <w:r w:rsidR="00795674">
        <w:rPr>
          <w:rFonts w:ascii="Cambria" w:hAnsi="Cambria"/>
        </w:rPr>
        <w:t xml:space="preserve"> (a </w:t>
      </w:r>
      <w:r w:rsidR="00483966">
        <w:rPr>
          <w:rFonts w:ascii="Cambria" w:hAnsi="Cambria"/>
        </w:rPr>
        <w:t>Caucasian</w:t>
      </w:r>
      <w:r w:rsidR="00795674">
        <w:rPr>
          <w:rFonts w:ascii="Cambria" w:hAnsi="Cambria"/>
        </w:rPr>
        <w:t xml:space="preserve"> group and an African American group)</w:t>
      </w:r>
      <w:r>
        <w:rPr>
          <w:rFonts w:ascii="Cambria" w:hAnsi="Cambria"/>
        </w:rPr>
        <w:t xml:space="preserve"> as they made the transition from teenager to adult</w:t>
      </w:r>
      <w:r w:rsidR="00265EA3">
        <w:rPr>
          <w:rFonts w:ascii="Cambria" w:hAnsi="Cambria"/>
        </w:rPr>
        <w:t>. H</w:t>
      </w:r>
      <w:r>
        <w:rPr>
          <w:rFonts w:ascii="Cambria" w:hAnsi="Cambria"/>
        </w:rPr>
        <w:t xml:space="preserve">e returned several years later to </w:t>
      </w:r>
      <w:r w:rsidR="00634B48">
        <w:rPr>
          <w:rFonts w:ascii="Cambria" w:hAnsi="Cambria"/>
        </w:rPr>
        <w:t>document</w:t>
      </w:r>
      <w:r>
        <w:rPr>
          <w:rFonts w:ascii="Cambria" w:hAnsi="Cambria"/>
        </w:rPr>
        <w:t xml:space="preserve"> their progress as adults. </w:t>
      </w:r>
      <w:r w:rsidR="00466A25">
        <w:rPr>
          <w:rFonts w:ascii="Cambria" w:hAnsi="Cambria"/>
        </w:rPr>
        <w:t xml:space="preserve">His research pulled back the layers of obfuscating rhetoric around the American achievement ideology. Essential to understanding this issue is the notion that “(s)tructure and agency are inseparable… Structural determination is thus inscribed in the very core of human agency” (MacLeod 2004:255). In other words, the opportunity to </w:t>
      </w:r>
      <w:r w:rsidR="00056EC9">
        <w:rPr>
          <w:rFonts w:ascii="Cambria" w:hAnsi="Cambria"/>
        </w:rPr>
        <w:t>pursue a future of ones own choosing</w:t>
      </w:r>
      <w:r w:rsidR="00466A25">
        <w:rPr>
          <w:rFonts w:ascii="Cambria" w:hAnsi="Cambria"/>
        </w:rPr>
        <w:t xml:space="preserve"> is constrained by systemically determined factors. </w:t>
      </w:r>
      <w:r w:rsidR="00F01E39">
        <w:rPr>
          <w:rFonts w:ascii="Cambria" w:hAnsi="Cambria"/>
        </w:rPr>
        <w:t>In his conclusions, he states in no uncertain terms “that structural inequality causes poverty” (p. 265).</w:t>
      </w:r>
    </w:p>
    <w:p w14:paraId="491B03C2" w14:textId="64245BDF" w:rsidR="00F01E39" w:rsidRDefault="00657CDC" w:rsidP="00B72687">
      <w:pPr>
        <w:tabs>
          <w:tab w:val="left" w:pos="0"/>
        </w:tabs>
        <w:spacing w:line="480" w:lineRule="auto"/>
        <w:rPr>
          <w:rFonts w:ascii="Cambria" w:hAnsi="Cambria"/>
        </w:rPr>
      </w:pPr>
      <w:r>
        <w:rPr>
          <w:rFonts w:ascii="Cambria" w:hAnsi="Cambria"/>
        </w:rPr>
        <w:tab/>
        <w:t>I shall return now to the arguments of Louis Pojman</w:t>
      </w:r>
      <w:r w:rsidR="00C96EB8">
        <w:rPr>
          <w:rFonts w:ascii="Cambria" w:hAnsi="Cambria"/>
        </w:rPr>
        <w:t>, which represent the common objections to AA</w:t>
      </w:r>
      <w:r>
        <w:rPr>
          <w:rFonts w:ascii="Cambria" w:hAnsi="Cambria"/>
        </w:rPr>
        <w:t>. Within the limited scope of this paper, I will attempt</w:t>
      </w:r>
      <w:r w:rsidR="00C96EB8">
        <w:rPr>
          <w:rFonts w:ascii="Cambria" w:hAnsi="Cambria"/>
        </w:rPr>
        <w:t xml:space="preserve"> to counter his main arguments.</w:t>
      </w:r>
    </w:p>
    <w:p w14:paraId="23C74860" w14:textId="410F261F" w:rsidR="00657CDC" w:rsidRPr="00B7271C" w:rsidRDefault="00657CDC" w:rsidP="00966D41">
      <w:pPr>
        <w:pStyle w:val="ListParagraph"/>
        <w:numPr>
          <w:ilvl w:val="0"/>
          <w:numId w:val="2"/>
        </w:numPr>
        <w:tabs>
          <w:tab w:val="left" w:pos="0"/>
        </w:tabs>
        <w:spacing w:line="480" w:lineRule="auto"/>
        <w:ind w:left="426"/>
        <w:rPr>
          <w:rFonts w:ascii="Cambria" w:hAnsi="Cambria"/>
        </w:rPr>
      </w:pPr>
      <w:r w:rsidRPr="00B7271C">
        <w:rPr>
          <w:rFonts w:ascii="Cambria" w:hAnsi="Cambria"/>
        </w:rPr>
        <w:t>He offers</w:t>
      </w:r>
      <w:r w:rsidR="00EC5CB1">
        <w:rPr>
          <w:rFonts w:ascii="Cambria" w:hAnsi="Cambria"/>
        </w:rPr>
        <w:t xml:space="preserve"> an argument against</w:t>
      </w:r>
      <w:r w:rsidRPr="00B7271C">
        <w:rPr>
          <w:rFonts w:ascii="Cambria" w:hAnsi="Cambria"/>
        </w:rPr>
        <w:t xml:space="preserve"> “The Two Wrongs Make a Right Thesis” (LaFollette 2007:474). This is, I will argue, a straw</w:t>
      </w:r>
      <w:r w:rsidR="00B77581">
        <w:rPr>
          <w:rFonts w:ascii="Cambria" w:hAnsi="Cambria"/>
        </w:rPr>
        <w:t xml:space="preserve"> </w:t>
      </w:r>
      <w:r w:rsidR="00BB7AA6">
        <w:rPr>
          <w:rFonts w:ascii="Cambria" w:hAnsi="Cambria"/>
        </w:rPr>
        <w:t xml:space="preserve">man. I have already </w:t>
      </w:r>
      <w:r w:rsidRPr="00B7271C">
        <w:rPr>
          <w:rFonts w:ascii="Cambria" w:hAnsi="Cambria"/>
        </w:rPr>
        <w:t>demonstrate</w:t>
      </w:r>
      <w:r w:rsidR="00BB7AA6">
        <w:rPr>
          <w:rFonts w:ascii="Cambria" w:hAnsi="Cambria"/>
        </w:rPr>
        <w:t>d</w:t>
      </w:r>
      <w:r w:rsidRPr="00B7271C">
        <w:rPr>
          <w:rFonts w:ascii="Cambria" w:hAnsi="Cambria"/>
        </w:rPr>
        <w:t xml:space="preserve"> that </w:t>
      </w:r>
      <w:r w:rsidR="00216205">
        <w:rPr>
          <w:rFonts w:ascii="Cambria" w:hAnsi="Cambria"/>
        </w:rPr>
        <w:t>AA</w:t>
      </w:r>
      <w:r w:rsidRPr="00B7271C">
        <w:rPr>
          <w:rFonts w:ascii="Cambria" w:hAnsi="Cambria"/>
        </w:rPr>
        <w:t xml:space="preserve"> is not specifically aimed at giving unf</w:t>
      </w:r>
      <w:r w:rsidR="00BB7AA6">
        <w:rPr>
          <w:rFonts w:ascii="Cambria" w:hAnsi="Cambria"/>
        </w:rPr>
        <w:t>air advantage to a certain racial group. Therefor</w:t>
      </w:r>
      <w:r w:rsidRPr="00B7271C">
        <w:rPr>
          <w:rFonts w:ascii="Cambria" w:hAnsi="Cambria"/>
        </w:rPr>
        <w:t xml:space="preserve">, starting his statement with the phrase “… </w:t>
      </w:r>
      <w:r w:rsidRPr="00B7271C">
        <w:rPr>
          <w:rFonts w:ascii="Cambria" w:hAnsi="Cambria"/>
          <w:i/>
        </w:rPr>
        <w:t>some</w:t>
      </w:r>
      <w:r w:rsidRPr="00B7271C">
        <w:rPr>
          <w:rFonts w:ascii="Cambria" w:hAnsi="Cambria"/>
        </w:rPr>
        <w:t xml:space="preserve"> whites once enslaved some blacks”</w:t>
      </w:r>
      <w:r w:rsidR="00D01225">
        <w:rPr>
          <w:rFonts w:ascii="Cambria" w:hAnsi="Cambria"/>
        </w:rPr>
        <w:t>(LaFollette 2007:474</w:t>
      </w:r>
      <w:r w:rsidR="00265EA3">
        <w:rPr>
          <w:rFonts w:ascii="Cambria" w:hAnsi="Cambria"/>
        </w:rPr>
        <w:t>)</w:t>
      </w:r>
      <w:r w:rsidRPr="00B7271C">
        <w:rPr>
          <w:rFonts w:ascii="Cambria" w:hAnsi="Cambria"/>
        </w:rPr>
        <w:t xml:space="preserve"> is setting up his argument against a non-existent claim. </w:t>
      </w:r>
      <w:r w:rsidR="00014198">
        <w:rPr>
          <w:rFonts w:ascii="Cambria" w:hAnsi="Cambria"/>
        </w:rPr>
        <w:t>He later argues against “</w:t>
      </w:r>
      <w:r w:rsidR="00014198" w:rsidRPr="00BB7AA6">
        <w:rPr>
          <w:rFonts w:ascii="Cambria" w:hAnsi="Cambria"/>
          <w:i/>
        </w:rPr>
        <w:t>the compensation argument</w:t>
      </w:r>
      <w:r w:rsidR="00BB7AA6">
        <w:rPr>
          <w:rFonts w:ascii="Cambria" w:hAnsi="Cambria"/>
        </w:rPr>
        <w:t>” (</w:t>
      </w:r>
      <w:r w:rsidR="00BB7AA6" w:rsidRPr="00B7271C">
        <w:rPr>
          <w:rFonts w:ascii="Cambria" w:hAnsi="Cambria"/>
        </w:rPr>
        <w:t>LaFollette 2007:</w:t>
      </w:r>
      <w:r w:rsidR="00014198">
        <w:rPr>
          <w:rFonts w:ascii="Cambria" w:hAnsi="Cambria"/>
        </w:rPr>
        <w:t>475) and his arguments there are subject to the same straw</w:t>
      </w:r>
      <w:r w:rsidR="00B77581">
        <w:rPr>
          <w:rFonts w:ascii="Cambria" w:hAnsi="Cambria"/>
        </w:rPr>
        <w:t xml:space="preserve"> </w:t>
      </w:r>
      <w:r w:rsidR="00014198">
        <w:rPr>
          <w:rFonts w:ascii="Cambria" w:hAnsi="Cambria"/>
        </w:rPr>
        <w:t>man criticism.</w:t>
      </w:r>
    </w:p>
    <w:p w14:paraId="280A44ED" w14:textId="3C70C5FC" w:rsidR="00B7271C" w:rsidRDefault="00B7271C" w:rsidP="00966D41">
      <w:pPr>
        <w:pStyle w:val="ListParagraph"/>
        <w:numPr>
          <w:ilvl w:val="0"/>
          <w:numId w:val="2"/>
        </w:numPr>
        <w:tabs>
          <w:tab w:val="left" w:pos="0"/>
        </w:tabs>
        <w:spacing w:line="480" w:lineRule="auto"/>
        <w:ind w:left="426"/>
        <w:rPr>
          <w:rFonts w:ascii="Cambria" w:hAnsi="Cambria"/>
        </w:rPr>
      </w:pPr>
      <w:r>
        <w:rPr>
          <w:rFonts w:ascii="Cambria" w:hAnsi="Cambria"/>
        </w:rPr>
        <w:t>He attempts to debunk “</w:t>
      </w:r>
      <w:r w:rsidRPr="00B7271C">
        <w:rPr>
          <w:rFonts w:ascii="Cambria" w:hAnsi="Cambria"/>
          <w:i/>
        </w:rPr>
        <w:t>the need for role models</w:t>
      </w:r>
      <w:r>
        <w:rPr>
          <w:rFonts w:ascii="Cambria" w:hAnsi="Cambria"/>
        </w:rPr>
        <w:t>” (</w:t>
      </w:r>
      <w:r w:rsidR="003818D1" w:rsidRPr="00B7271C">
        <w:rPr>
          <w:rFonts w:ascii="Cambria" w:hAnsi="Cambria"/>
        </w:rPr>
        <w:t>LaFollette 2007:</w:t>
      </w:r>
      <w:r w:rsidR="008C638D">
        <w:rPr>
          <w:rFonts w:ascii="Cambria" w:hAnsi="Cambria"/>
        </w:rPr>
        <w:t>4</w:t>
      </w:r>
      <w:r>
        <w:rPr>
          <w:rFonts w:ascii="Cambria" w:hAnsi="Cambria"/>
        </w:rPr>
        <w:t>75) argument. He makes the claim that “our common humanity should be a sufficient basis for us to see the possibility of success” (</w:t>
      </w:r>
      <w:r w:rsidR="003818D1" w:rsidRPr="00B7271C">
        <w:rPr>
          <w:rFonts w:ascii="Cambria" w:hAnsi="Cambria"/>
        </w:rPr>
        <w:t>LaFollette 2007:</w:t>
      </w:r>
      <w:r>
        <w:rPr>
          <w:rFonts w:ascii="Cambria" w:hAnsi="Cambria"/>
        </w:rPr>
        <w:t xml:space="preserve">475). This is a normative and ethnocentric statement, easily proclaimed from a </w:t>
      </w:r>
      <w:r w:rsidR="00EA2D5D">
        <w:rPr>
          <w:rFonts w:ascii="Cambria" w:hAnsi="Cambria"/>
        </w:rPr>
        <w:t>worldview</w:t>
      </w:r>
      <w:r>
        <w:rPr>
          <w:rFonts w:ascii="Cambria" w:hAnsi="Cambria"/>
        </w:rPr>
        <w:t xml:space="preserve"> shaped by </w:t>
      </w:r>
      <w:r w:rsidR="00EA2D5D">
        <w:rPr>
          <w:rFonts w:ascii="Cambria" w:hAnsi="Cambria"/>
        </w:rPr>
        <w:t xml:space="preserve">privilege. </w:t>
      </w:r>
      <w:r w:rsidR="00F11F6C">
        <w:rPr>
          <w:rFonts w:ascii="Cambria" w:hAnsi="Cambria"/>
        </w:rPr>
        <w:t xml:space="preserve">His general claim is in favour of meritocratic hiring policies, but his idea of merit is based on his privileged view of merit as measurable in the terms defined by the culturally dominant white male group. I argue that his claims here are false. Role models provide a conceptual framework within which one can envision oneself following a similar path to success. When one </w:t>
      </w:r>
      <w:r w:rsidR="00116709">
        <w:rPr>
          <w:rFonts w:ascii="Cambria" w:hAnsi="Cambria"/>
        </w:rPr>
        <w:t>cannot</w:t>
      </w:r>
      <w:r w:rsidR="00F11F6C">
        <w:rPr>
          <w:rFonts w:ascii="Cambria" w:hAnsi="Cambria"/>
        </w:rPr>
        <w:t xml:space="preserve"> relate to people who have succeeded, one </w:t>
      </w:r>
      <w:r w:rsidR="00116709">
        <w:rPr>
          <w:rFonts w:ascii="Cambria" w:hAnsi="Cambria"/>
        </w:rPr>
        <w:t>cannot</w:t>
      </w:r>
      <w:r w:rsidR="00F11F6C">
        <w:rPr>
          <w:rFonts w:ascii="Cambria" w:hAnsi="Cambria"/>
        </w:rPr>
        <w:t xml:space="preserve"> consider them as role models. </w:t>
      </w:r>
      <w:r w:rsidR="002017ED">
        <w:rPr>
          <w:rFonts w:ascii="Cambria" w:hAnsi="Cambria"/>
        </w:rPr>
        <w:t>Jay M</w:t>
      </w:r>
      <w:r w:rsidR="00116709">
        <w:rPr>
          <w:rFonts w:ascii="Cambria" w:hAnsi="Cambria"/>
        </w:rPr>
        <w:t>acLeod offers an observation which summarizes the</w:t>
      </w:r>
      <w:r w:rsidR="002017ED">
        <w:rPr>
          <w:rFonts w:ascii="Cambria" w:hAnsi="Cambria"/>
        </w:rPr>
        <w:t xml:space="preserve"> problem with meritocratic hiring policies by saying that “(i)</w:t>
      </w:r>
      <w:r w:rsidR="00F11F6C">
        <w:rPr>
          <w:rFonts w:ascii="Cambria" w:hAnsi="Cambria"/>
        </w:rPr>
        <w:t>f merit is the basis for distribution</w:t>
      </w:r>
      <w:r w:rsidR="002017ED">
        <w:rPr>
          <w:rFonts w:ascii="Cambria" w:hAnsi="Cambria"/>
        </w:rPr>
        <w:t xml:space="preserve"> of rewards… inequality is legitimated</w:t>
      </w:r>
      <w:r w:rsidR="00B77581">
        <w:rPr>
          <w:rFonts w:ascii="Cambria" w:hAnsi="Cambria"/>
        </w:rPr>
        <w:t>”</w:t>
      </w:r>
      <w:r w:rsidR="002017ED">
        <w:rPr>
          <w:rFonts w:ascii="Cambria" w:hAnsi="Cambria"/>
        </w:rPr>
        <w:t xml:space="preserve"> (MacLeod 2004:112-113).</w:t>
      </w:r>
      <w:r w:rsidR="00014198">
        <w:rPr>
          <w:rFonts w:ascii="Cambria" w:hAnsi="Cambria"/>
        </w:rPr>
        <w:t xml:space="preserve"> Again, my criticism of this argument applies to his arguments against compensation. Even if we grant for the sake of argument that </w:t>
      </w:r>
      <w:r w:rsidR="00216205">
        <w:rPr>
          <w:rFonts w:ascii="Cambria" w:hAnsi="Cambria"/>
        </w:rPr>
        <w:t>AA</w:t>
      </w:r>
      <w:r w:rsidR="00014198">
        <w:rPr>
          <w:rFonts w:ascii="Cambria" w:hAnsi="Cambria"/>
        </w:rPr>
        <w:t xml:space="preserve"> is about privileging racial minorities, his core argument against compensation is that “we ought to treat… individual(s) on the basis of his or her merit” (LaFollette 2007:477).</w:t>
      </w:r>
    </w:p>
    <w:p w14:paraId="1C577B83" w14:textId="71FB0BDF" w:rsidR="006F41A5" w:rsidRDefault="001A052D" w:rsidP="00966D41">
      <w:pPr>
        <w:pStyle w:val="ListParagraph"/>
        <w:numPr>
          <w:ilvl w:val="0"/>
          <w:numId w:val="2"/>
        </w:numPr>
        <w:tabs>
          <w:tab w:val="left" w:pos="0"/>
        </w:tabs>
        <w:spacing w:line="480" w:lineRule="auto"/>
        <w:ind w:left="426"/>
        <w:rPr>
          <w:rFonts w:ascii="Cambria" w:hAnsi="Cambria"/>
        </w:rPr>
      </w:pPr>
      <w:r>
        <w:rPr>
          <w:rFonts w:ascii="Cambria" w:hAnsi="Cambria"/>
        </w:rPr>
        <w:t>In his critique of “</w:t>
      </w:r>
      <w:r w:rsidRPr="001A052D">
        <w:rPr>
          <w:rFonts w:ascii="Cambria" w:hAnsi="Cambria"/>
          <w:i/>
        </w:rPr>
        <w:t>The diversity argument</w:t>
      </w:r>
      <w:r>
        <w:rPr>
          <w:rFonts w:ascii="Cambria" w:hAnsi="Cambria"/>
        </w:rPr>
        <w:t>”</w:t>
      </w:r>
      <w:r w:rsidR="001707D0">
        <w:rPr>
          <w:rFonts w:ascii="Cambria" w:hAnsi="Cambria"/>
        </w:rPr>
        <w:t xml:space="preserve"> </w:t>
      </w:r>
      <w:r w:rsidR="0022791D">
        <w:rPr>
          <w:rFonts w:ascii="Cambria" w:hAnsi="Cambria"/>
        </w:rPr>
        <w:t>(</w:t>
      </w:r>
      <w:r w:rsidR="00E577AE" w:rsidRPr="00B7271C">
        <w:rPr>
          <w:rFonts w:ascii="Cambria" w:hAnsi="Cambria"/>
        </w:rPr>
        <w:t>LaFollette 2007:</w:t>
      </w:r>
      <w:r w:rsidR="0022791D">
        <w:rPr>
          <w:rFonts w:ascii="Cambria" w:hAnsi="Cambria"/>
        </w:rPr>
        <w:t>478),</w:t>
      </w:r>
      <w:r>
        <w:rPr>
          <w:rFonts w:ascii="Cambria" w:hAnsi="Cambria"/>
        </w:rPr>
        <w:t xml:space="preserve"> his primary objection seems to be that diversity is “(in)adequate to override the moral requirement to treat each person with equal respect” (</w:t>
      </w:r>
      <w:r w:rsidR="006C050D" w:rsidRPr="00B7271C">
        <w:rPr>
          <w:rFonts w:ascii="Cambria" w:hAnsi="Cambria"/>
        </w:rPr>
        <w:t>LaFollette 2007:</w:t>
      </w:r>
      <w:r>
        <w:rPr>
          <w:rFonts w:ascii="Cambria" w:hAnsi="Cambria"/>
        </w:rPr>
        <w:t xml:space="preserve">478). Once again, his privilege is exposed with this claim. This amounts to a declaration that the competition for opportunity is equal: never mind that </w:t>
      </w:r>
      <w:r w:rsidR="00CE7FEC">
        <w:rPr>
          <w:rFonts w:ascii="Cambria" w:hAnsi="Cambria"/>
        </w:rPr>
        <w:t xml:space="preserve">certain groups (primarily </w:t>
      </w:r>
      <w:r>
        <w:rPr>
          <w:rFonts w:ascii="Cambria" w:hAnsi="Cambria"/>
        </w:rPr>
        <w:t>white males</w:t>
      </w:r>
      <w:r w:rsidR="00CE7FEC">
        <w:rPr>
          <w:rFonts w:ascii="Cambria" w:hAnsi="Cambria"/>
        </w:rPr>
        <w:t>, in our society)</w:t>
      </w:r>
      <w:r>
        <w:rPr>
          <w:rFonts w:ascii="Cambria" w:hAnsi="Cambria"/>
        </w:rPr>
        <w:t xml:space="preserve"> benefit from the structures that will grant them greater respectability (under his terms).</w:t>
      </w:r>
    </w:p>
    <w:p w14:paraId="78820BE9" w14:textId="65207EFD" w:rsidR="008430F2" w:rsidRDefault="008430F2" w:rsidP="00966D41">
      <w:pPr>
        <w:pStyle w:val="ListParagraph"/>
        <w:numPr>
          <w:ilvl w:val="0"/>
          <w:numId w:val="2"/>
        </w:numPr>
        <w:tabs>
          <w:tab w:val="left" w:pos="0"/>
        </w:tabs>
        <w:spacing w:line="480" w:lineRule="auto"/>
        <w:ind w:left="426"/>
        <w:rPr>
          <w:rFonts w:ascii="Cambria" w:hAnsi="Cambria"/>
        </w:rPr>
      </w:pPr>
      <w:r>
        <w:rPr>
          <w:rFonts w:ascii="Cambria" w:hAnsi="Cambria"/>
        </w:rPr>
        <w:t xml:space="preserve">He </w:t>
      </w:r>
      <w:r w:rsidR="007C7CBF">
        <w:rPr>
          <w:rFonts w:ascii="Cambria" w:hAnsi="Cambria"/>
        </w:rPr>
        <w:t xml:space="preserve">argues that </w:t>
      </w:r>
      <w:r w:rsidR="00216205">
        <w:rPr>
          <w:rFonts w:ascii="Cambria" w:hAnsi="Cambria"/>
        </w:rPr>
        <w:t>AA</w:t>
      </w:r>
      <w:r>
        <w:rPr>
          <w:rFonts w:ascii="Cambria" w:hAnsi="Cambria"/>
        </w:rPr>
        <w:t xml:space="preserve"> </w:t>
      </w:r>
      <w:r w:rsidR="007C7CBF">
        <w:rPr>
          <w:rFonts w:ascii="Cambria" w:hAnsi="Cambria"/>
        </w:rPr>
        <w:t>“</w:t>
      </w:r>
      <w:r w:rsidRPr="00FC4287">
        <w:rPr>
          <w:rFonts w:ascii="Cambria" w:hAnsi="Cambria"/>
          <w:i/>
        </w:rPr>
        <w:t>requires discrimination against a different group</w:t>
      </w:r>
      <w:r>
        <w:rPr>
          <w:rFonts w:ascii="Cambria" w:hAnsi="Cambria"/>
        </w:rPr>
        <w:t>” (</w:t>
      </w:r>
      <w:r w:rsidR="006C050D" w:rsidRPr="00B7271C">
        <w:rPr>
          <w:rFonts w:ascii="Cambria" w:hAnsi="Cambria"/>
        </w:rPr>
        <w:t>LaFollette 2007:</w:t>
      </w:r>
      <w:r>
        <w:rPr>
          <w:rFonts w:ascii="Cambria" w:hAnsi="Cambria"/>
        </w:rPr>
        <w:t>479), specifically, young white males. I think by now</w:t>
      </w:r>
      <w:r w:rsidR="0052560F">
        <w:rPr>
          <w:rFonts w:ascii="Cambria" w:hAnsi="Cambria"/>
        </w:rPr>
        <w:t xml:space="preserve"> that</w:t>
      </w:r>
      <w:r>
        <w:rPr>
          <w:rFonts w:ascii="Cambria" w:hAnsi="Cambria"/>
        </w:rPr>
        <w:t xml:space="preserve"> my counter argument to this point is clear: </w:t>
      </w:r>
      <w:r w:rsidR="00216205">
        <w:rPr>
          <w:rFonts w:ascii="Cambria" w:hAnsi="Cambria"/>
        </w:rPr>
        <w:t>AA</w:t>
      </w:r>
      <w:r>
        <w:rPr>
          <w:rFonts w:ascii="Cambria" w:hAnsi="Cambria"/>
        </w:rPr>
        <w:t xml:space="preserve"> is not about race or </w:t>
      </w:r>
      <w:r w:rsidR="0052560F">
        <w:rPr>
          <w:rFonts w:ascii="Cambria" w:hAnsi="Cambria"/>
        </w:rPr>
        <w:t>gender;</w:t>
      </w:r>
      <w:r>
        <w:rPr>
          <w:rFonts w:ascii="Cambria" w:hAnsi="Cambria"/>
        </w:rPr>
        <w:t xml:space="preserve"> it is about providing access where access is structurally limited. </w:t>
      </w:r>
      <w:r w:rsidR="0047062D">
        <w:rPr>
          <w:rFonts w:ascii="Cambria" w:hAnsi="Cambria"/>
        </w:rPr>
        <w:t xml:space="preserve">He presents a table that purports to tally up the beneficiaries of </w:t>
      </w:r>
      <w:r w:rsidR="00216205">
        <w:rPr>
          <w:rFonts w:ascii="Cambria" w:hAnsi="Cambria"/>
        </w:rPr>
        <w:t>AA</w:t>
      </w:r>
      <w:r w:rsidR="0047062D">
        <w:rPr>
          <w:rFonts w:ascii="Cambria" w:hAnsi="Cambria"/>
        </w:rPr>
        <w:t xml:space="preserve"> where the total amounts to 130% of the population. I must assume that he is being facetious here, as </w:t>
      </w:r>
      <w:r w:rsidR="003B6AEF">
        <w:rPr>
          <w:rFonts w:ascii="Cambria" w:hAnsi="Cambria"/>
        </w:rPr>
        <w:t>(</w:t>
      </w:r>
      <w:r w:rsidR="0047062D">
        <w:rPr>
          <w:rFonts w:ascii="Cambria" w:hAnsi="Cambria"/>
        </w:rPr>
        <w:t>I think</w:t>
      </w:r>
      <w:r w:rsidR="003B6AEF">
        <w:rPr>
          <w:rFonts w:ascii="Cambria" w:hAnsi="Cambria"/>
        </w:rPr>
        <w:t>)</w:t>
      </w:r>
      <w:r w:rsidR="0047062D">
        <w:rPr>
          <w:rFonts w:ascii="Cambria" w:hAnsi="Cambria"/>
        </w:rPr>
        <w:t xml:space="preserve"> is the case for much of his rhetoric. This disingenuous treatment of the data is reflective of</w:t>
      </w:r>
      <w:r w:rsidR="00416B5C">
        <w:rPr>
          <w:rFonts w:ascii="Cambria" w:hAnsi="Cambria"/>
        </w:rPr>
        <w:t xml:space="preserve"> his overall tone of indignance and his position of unexamined privilege.</w:t>
      </w:r>
    </w:p>
    <w:p w14:paraId="60E53C0C" w14:textId="73BD3686" w:rsidR="0047062D" w:rsidRDefault="00267963" w:rsidP="00966D41">
      <w:pPr>
        <w:pStyle w:val="ListParagraph"/>
        <w:numPr>
          <w:ilvl w:val="0"/>
          <w:numId w:val="2"/>
        </w:numPr>
        <w:tabs>
          <w:tab w:val="left" w:pos="0"/>
        </w:tabs>
        <w:spacing w:line="480" w:lineRule="auto"/>
        <w:ind w:left="426"/>
        <w:rPr>
          <w:rFonts w:ascii="Cambria" w:hAnsi="Cambria"/>
        </w:rPr>
      </w:pPr>
      <w:r>
        <w:rPr>
          <w:rFonts w:ascii="Cambria" w:hAnsi="Cambria"/>
        </w:rPr>
        <w:t xml:space="preserve">The last argument that I </w:t>
      </w:r>
      <w:r w:rsidR="008A4ACA">
        <w:rPr>
          <w:rFonts w:ascii="Cambria" w:hAnsi="Cambria"/>
        </w:rPr>
        <w:t xml:space="preserve">will address is his claim that </w:t>
      </w:r>
      <w:r w:rsidR="00216205">
        <w:rPr>
          <w:rFonts w:ascii="Cambria" w:hAnsi="Cambria"/>
        </w:rPr>
        <w:t>AA</w:t>
      </w:r>
      <w:r>
        <w:rPr>
          <w:rFonts w:ascii="Cambria" w:hAnsi="Cambria"/>
        </w:rPr>
        <w:t xml:space="preserve"> </w:t>
      </w:r>
      <w:r w:rsidR="008A4ACA">
        <w:rPr>
          <w:rFonts w:ascii="Cambria" w:hAnsi="Cambria"/>
        </w:rPr>
        <w:t>“</w:t>
      </w:r>
      <w:r w:rsidRPr="008A4ACA">
        <w:rPr>
          <w:rFonts w:ascii="Cambria" w:hAnsi="Cambria"/>
          <w:i/>
        </w:rPr>
        <w:t>encourages mediocrity and incompetence</w:t>
      </w:r>
      <w:r>
        <w:rPr>
          <w:rFonts w:ascii="Cambria" w:hAnsi="Cambria"/>
        </w:rPr>
        <w:t>” (</w:t>
      </w:r>
      <w:r w:rsidR="009F50B8" w:rsidRPr="00B7271C">
        <w:rPr>
          <w:rFonts w:ascii="Cambria" w:hAnsi="Cambria"/>
        </w:rPr>
        <w:t>LaFollette 2007:</w:t>
      </w:r>
      <w:r>
        <w:rPr>
          <w:rFonts w:ascii="Cambria" w:hAnsi="Cambria"/>
        </w:rPr>
        <w:t>480). The data simply does not bear this claim out. As Harris and Narayan point out</w:t>
      </w:r>
      <w:r w:rsidR="00013B6F">
        <w:rPr>
          <w:rFonts w:ascii="Cambria" w:hAnsi="Cambria"/>
        </w:rPr>
        <w:t>, of “sixteen ‘</w:t>
      </w:r>
      <w:r w:rsidR="00216205">
        <w:rPr>
          <w:rFonts w:ascii="Cambria" w:hAnsi="Cambria"/>
        </w:rPr>
        <w:t>A</w:t>
      </w:r>
      <w:r w:rsidR="008A4ACA">
        <w:rPr>
          <w:rFonts w:ascii="Cambria" w:hAnsi="Cambria"/>
        </w:rPr>
        <w:t xml:space="preserve">ffirmative </w:t>
      </w:r>
      <w:r w:rsidR="00216205">
        <w:rPr>
          <w:rFonts w:ascii="Cambria" w:hAnsi="Cambria"/>
        </w:rPr>
        <w:t>A</w:t>
      </w:r>
      <w:r w:rsidR="008A4ACA">
        <w:rPr>
          <w:rFonts w:ascii="Cambria" w:hAnsi="Cambria"/>
        </w:rPr>
        <w:t>ction</w:t>
      </w:r>
      <w:r w:rsidR="00013B6F">
        <w:rPr>
          <w:rFonts w:ascii="Cambria" w:hAnsi="Cambria"/>
        </w:rPr>
        <w:t>’</w:t>
      </w:r>
      <w:r w:rsidR="008F78DD">
        <w:rPr>
          <w:rFonts w:ascii="Cambria" w:hAnsi="Cambria"/>
        </w:rPr>
        <w:t xml:space="preserve"> candidates (admitted) to (UC) Davis in 1978, thirteen had graduated in good standing, several had excelled, and one… earned the school’s most prestigious senior class award” (LaFollette 2007:501). It has been shown that these Affirmative-Action-admitted students performed admirably. This reinforces the notion that “there is good reason to believe that their capabilities are not accurately gauged or fairly evaluated” (</w:t>
      </w:r>
      <w:r w:rsidR="009F50B8" w:rsidRPr="00B7271C">
        <w:rPr>
          <w:rFonts w:ascii="Cambria" w:hAnsi="Cambria"/>
        </w:rPr>
        <w:t>LaFollette 2007:</w:t>
      </w:r>
      <w:r w:rsidR="008F78DD">
        <w:rPr>
          <w:rFonts w:ascii="Cambria" w:hAnsi="Cambria"/>
        </w:rPr>
        <w:t>500)</w:t>
      </w:r>
      <w:r w:rsidR="00006E46">
        <w:rPr>
          <w:rFonts w:ascii="Cambria" w:hAnsi="Cambria"/>
        </w:rPr>
        <w:t xml:space="preserve"> compared to the students who were admitted under standard guidelines.</w:t>
      </w:r>
    </w:p>
    <w:p w14:paraId="24E5CB3D" w14:textId="0A22B4D2" w:rsidR="00207379" w:rsidRDefault="00966D41" w:rsidP="00207379">
      <w:pPr>
        <w:tabs>
          <w:tab w:val="left" w:pos="0"/>
        </w:tabs>
        <w:spacing w:line="480" w:lineRule="auto"/>
        <w:rPr>
          <w:rFonts w:ascii="Cambria" w:hAnsi="Cambria"/>
        </w:rPr>
      </w:pPr>
      <w:r>
        <w:rPr>
          <w:rFonts w:ascii="Cambria" w:hAnsi="Cambria"/>
        </w:rPr>
        <w:tab/>
        <w:t xml:space="preserve">As a </w:t>
      </w:r>
      <w:r w:rsidR="005535F1">
        <w:rPr>
          <w:rFonts w:ascii="Cambria" w:hAnsi="Cambria"/>
        </w:rPr>
        <w:t xml:space="preserve">preference </w:t>
      </w:r>
      <w:r>
        <w:rPr>
          <w:rFonts w:ascii="Cambria" w:hAnsi="Cambria"/>
        </w:rPr>
        <w:t xml:space="preserve">utilitarian, I see </w:t>
      </w:r>
      <w:r w:rsidR="00216205">
        <w:rPr>
          <w:rFonts w:ascii="Cambria" w:hAnsi="Cambria"/>
        </w:rPr>
        <w:t>AA</w:t>
      </w:r>
      <w:r>
        <w:rPr>
          <w:rFonts w:ascii="Cambria" w:hAnsi="Cambria"/>
        </w:rPr>
        <w:t xml:space="preserve"> as a great force for utility. Under oppressive </w:t>
      </w:r>
      <w:r w:rsidR="005535F1">
        <w:rPr>
          <w:rFonts w:ascii="Cambria" w:hAnsi="Cambria"/>
        </w:rPr>
        <w:t xml:space="preserve">structures, considerably more than half of the population of our </w:t>
      </w:r>
      <w:r w:rsidR="009F50B8">
        <w:rPr>
          <w:rFonts w:ascii="Cambria" w:hAnsi="Cambria"/>
        </w:rPr>
        <w:t>society</w:t>
      </w:r>
      <w:r w:rsidR="005535F1">
        <w:rPr>
          <w:rFonts w:ascii="Cambria" w:hAnsi="Cambria"/>
        </w:rPr>
        <w:t xml:space="preserve"> is facing systemic exclusion from the opportunity </w:t>
      </w:r>
      <w:r w:rsidR="009F50B8">
        <w:rPr>
          <w:rFonts w:ascii="Cambria" w:hAnsi="Cambria"/>
        </w:rPr>
        <w:t>to achieve</w:t>
      </w:r>
      <w:r w:rsidR="005535F1">
        <w:rPr>
          <w:rFonts w:ascii="Cambria" w:hAnsi="Cambria"/>
        </w:rPr>
        <w:t xml:space="preserve"> self-act</w:t>
      </w:r>
      <w:r w:rsidR="000267C0">
        <w:rPr>
          <w:rFonts w:ascii="Cambria" w:hAnsi="Cambria"/>
        </w:rPr>
        <w:t>ualization. Systemic inequality</w:t>
      </w:r>
      <w:r w:rsidR="009F7BDF">
        <w:rPr>
          <w:rFonts w:ascii="Cambria" w:hAnsi="Cambria"/>
        </w:rPr>
        <w:t xml:space="preserve"> is both the sickness and the symptom in a circle of oppression. Somewhere, the circle must be broken to ensure that as many people as possible have the ability to exercise their</w:t>
      </w:r>
      <w:r w:rsidR="000267C0">
        <w:rPr>
          <w:rFonts w:ascii="Cambria" w:hAnsi="Cambria"/>
        </w:rPr>
        <w:t xml:space="preserve"> agency and satisfy their preferences</w:t>
      </w:r>
      <w:r w:rsidR="009F7BDF">
        <w:rPr>
          <w:rFonts w:ascii="Cambria" w:hAnsi="Cambria"/>
        </w:rPr>
        <w:t xml:space="preserve">. Under the new and more inclusive definition, </w:t>
      </w:r>
      <w:r w:rsidR="00216205">
        <w:rPr>
          <w:rFonts w:ascii="Cambria" w:hAnsi="Cambria"/>
        </w:rPr>
        <w:t>AA</w:t>
      </w:r>
      <w:r w:rsidR="009F7BDF">
        <w:rPr>
          <w:rFonts w:ascii="Cambria" w:hAnsi="Cambria"/>
        </w:rPr>
        <w:t xml:space="preserve"> can serve as a tool for leveling the tragically skewed playing field</w:t>
      </w:r>
      <w:r w:rsidR="00B16335">
        <w:rPr>
          <w:rFonts w:ascii="Cambria" w:hAnsi="Cambria"/>
        </w:rPr>
        <w:t xml:space="preserve"> of our supposed meritocracy. AA represents</w:t>
      </w:r>
      <w:r w:rsidR="009F7BDF">
        <w:rPr>
          <w:rFonts w:ascii="Cambria" w:hAnsi="Cambria"/>
        </w:rPr>
        <w:t xml:space="preserve"> socially responsible policies of inclusion</w:t>
      </w:r>
      <w:r w:rsidR="00B16335">
        <w:rPr>
          <w:rFonts w:ascii="Cambria" w:hAnsi="Cambria"/>
        </w:rPr>
        <w:t xml:space="preserve"> aimed at</w:t>
      </w:r>
      <w:r w:rsidR="009F7BDF">
        <w:rPr>
          <w:rFonts w:ascii="Cambria" w:hAnsi="Cambria"/>
        </w:rPr>
        <w:t xml:space="preserve"> open</w:t>
      </w:r>
      <w:r w:rsidR="00B16335">
        <w:rPr>
          <w:rFonts w:ascii="Cambria" w:hAnsi="Cambria"/>
        </w:rPr>
        <w:t>ing</w:t>
      </w:r>
      <w:r w:rsidR="009F7BDF">
        <w:rPr>
          <w:rFonts w:ascii="Cambria" w:hAnsi="Cambria"/>
        </w:rPr>
        <w:t xml:space="preserve"> doors for those who face harsh limits on their potential. </w:t>
      </w:r>
      <w:r w:rsidR="00356B9A">
        <w:rPr>
          <w:rFonts w:ascii="Cambria" w:hAnsi="Cambria"/>
        </w:rPr>
        <w:t>A</w:t>
      </w:r>
      <w:r w:rsidR="009F7BDF">
        <w:rPr>
          <w:rFonts w:ascii="Cambria" w:hAnsi="Cambria"/>
        </w:rPr>
        <w:t xml:space="preserve"> post-</w:t>
      </w:r>
      <w:r w:rsidR="00356B9A">
        <w:rPr>
          <w:rFonts w:ascii="Cambria" w:hAnsi="Cambria"/>
        </w:rPr>
        <w:t xml:space="preserve"> privilege</w:t>
      </w:r>
      <w:r w:rsidR="009F7BDF">
        <w:rPr>
          <w:rFonts w:ascii="Cambria" w:hAnsi="Cambria"/>
        </w:rPr>
        <w:t xml:space="preserve"> society is a</w:t>
      </w:r>
      <w:r w:rsidR="00356B9A">
        <w:rPr>
          <w:rFonts w:ascii="Cambria" w:hAnsi="Cambria"/>
        </w:rPr>
        <w:t>n impossible</w:t>
      </w:r>
      <w:r w:rsidR="009F7BDF">
        <w:rPr>
          <w:rFonts w:ascii="Cambria" w:hAnsi="Cambria"/>
        </w:rPr>
        <w:t xml:space="preserve"> utopia, but that does not mean </w:t>
      </w:r>
      <w:r w:rsidR="00013B6F">
        <w:rPr>
          <w:rFonts w:ascii="Cambria" w:hAnsi="Cambria"/>
        </w:rPr>
        <w:t xml:space="preserve">that </w:t>
      </w:r>
      <w:r w:rsidR="009F7BDF">
        <w:rPr>
          <w:rFonts w:ascii="Cambria" w:hAnsi="Cambria"/>
        </w:rPr>
        <w:t>we should</w:t>
      </w:r>
      <w:r w:rsidR="003D6761">
        <w:rPr>
          <w:rFonts w:ascii="Cambria" w:hAnsi="Cambria"/>
        </w:rPr>
        <w:t xml:space="preserve"> no</w:t>
      </w:r>
      <w:r w:rsidR="009F7BDF">
        <w:rPr>
          <w:rFonts w:ascii="Cambria" w:hAnsi="Cambria"/>
        </w:rPr>
        <w:t>t act to reduc</w:t>
      </w:r>
      <w:r w:rsidR="00356B9A">
        <w:rPr>
          <w:rFonts w:ascii="Cambria" w:hAnsi="Cambria"/>
        </w:rPr>
        <w:t>e systemic oppression.</w:t>
      </w:r>
    </w:p>
    <w:p w14:paraId="3A141011" w14:textId="77777777" w:rsidR="00523270" w:rsidRDefault="00523270" w:rsidP="00523270">
      <w:pPr>
        <w:rPr>
          <w:rFonts w:ascii="Cambria" w:hAnsi="Cambria"/>
        </w:rPr>
      </w:pPr>
    </w:p>
    <w:p w14:paraId="2EB93591" w14:textId="77777777" w:rsidR="00523270" w:rsidRDefault="00523270" w:rsidP="00523270">
      <w:pPr>
        <w:rPr>
          <w:rFonts w:ascii="Cambria" w:hAnsi="Cambria"/>
        </w:rPr>
      </w:pPr>
    </w:p>
    <w:p w14:paraId="7919FEBF" w14:textId="77777777" w:rsidR="00523270" w:rsidRPr="00154C96" w:rsidRDefault="00523270" w:rsidP="00523270">
      <w:pPr>
        <w:rPr>
          <w:rFonts w:ascii="Cambria" w:hAnsi="Cambria"/>
          <w:u w:val="single"/>
        </w:rPr>
      </w:pPr>
      <w:r w:rsidRPr="00154C96">
        <w:rPr>
          <w:rFonts w:ascii="Cambria" w:hAnsi="Cambria"/>
          <w:u w:val="single"/>
        </w:rPr>
        <w:t>Bibliography</w:t>
      </w:r>
    </w:p>
    <w:p w14:paraId="754ECD4F" w14:textId="77777777" w:rsidR="00523270" w:rsidRPr="00E17274" w:rsidRDefault="00523270" w:rsidP="00523270">
      <w:pPr>
        <w:rPr>
          <w:rFonts w:ascii="Cambria" w:hAnsi="Cambria"/>
        </w:rPr>
      </w:pPr>
    </w:p>
    <w:p w14:paraId="6B274D80" w14:textId="77777777" w:rsidR="00523270" w:rsidRPr="00E17274" w:rsidRDefault="00523270" w:rsidP="00523270">
      <w:pPr>
        <w:rPr>
          <w:rFonts w:ascii="Cambria" w:hAnsi="Cambria"/>
        </w:rPr>
      </w:pPr>
    </w:p>
    <w:p w14:paraId="5DD526CD" w14:textId="7C0A8BAA" w:rsidR="00523270" w:rsidRPr="00E17274" w:rsidRDefault="00523270" w:rsidP="00523270">
      <w:pPr>
        <w:rPr>
          <w:rFonts w:ascii="Cambria" w:hAnsi="Cambria" w:cs="Arial"/>
        </w:rPr>
      </w:pPr>
      <w:r w:rsidRPr="00E17274">
        <w:rPr>
          <w:rFonts w:ascii="Cambria" w:hAnsi="Cambria" w:cs="Arial"/>
        </w:rPr>
        <w:t xml:space="preserve">Fullinwider, R. Affirmative Action. (2002). </w:t>
      </w:r>
      <w:r w:rsidRPr="00E17274">
        <w:rPr>
          <w:rFonts w:ascii="Cambria" w:hAnsi="Cambria" w:cs="Arial"/>
          <w:i/>
          <w:iCs/>
        </w:rPr>
        <w:t>The Stanford Encyclopedia of Philosophy</w:t>
      </w:r>
      <w:r w:rsidRPr="00E17274">
        <w:rPr>
          <w:rFonts w:ascii="Cambria" w:hAnsi="Cambria" w:cs="Arial"/>
        </w:rPr>
        <w:t xml:space="preserve">. Retrieved </w:t>
      </w:r>
      <w:r w:rsidRPr="00154C96">
        <w:rPr>
          <w:rFonts w:ascii="Cambria" w:hAnsi="Cambria" w:cs="Arial"/>
        </w:rPr>
        <w:t>from Stanford University, Center for the Study of Language and Information, http://plato.stanford.edu/archives/win2011/entries/affirmative-action</w:t>
      </w:r>
      <w:r w:rsidR="00154C96">
        <w:rPr>
          <w:rFonts w:ascii="Cambria" w:hAnsi="Cambria" w:cs="Arial"/>
        </w:rPr>
        <w:t>.</w:t>
      </w:r>
    </w:p>
    <w:p w14:paraId="553E77B0" w14:textId="77777777" w:rsidR="00523270" w:rsidRPr="00E17274" w:rsidRDefault="00523270" w:rsidP="00523270">
      <w:pPr>
        <w:rPr>
          <w:rFonts w:ascii="Cambria" w:hAnsi="Cambria" w:cs="Arial"/>
        </w:rPr>
      </w:pPr>
    </w:p>
    <w:p w14:paraId="58828662" w14:textId="77777777" w:rsidR="00523270" w:rsidRPr="00E17274" w:rsidRDefault="00523270" w:rsidP="00523270">
      <w:pPr>
        <w:rPr>
          <w:rFonts w:ascii="Cambria" w:hAnsi="Cambria"/>
        </w:rPr>
      </w:pPr>
      <w:r w:rsidRPr="00E17274">
        <w:rPr>
          <w:rFonts w:ascii="Cambria" w:hAnsi="Cambria"/>
        </w:rPr>
        <w:t xml:space="preserve">LaFollette, H. (Eds.). (2007). </w:t>
      </w:r>
      <w:r w:rsidRPr="00E17274">
        <w:rPr>
          <w:rFonts w:ascii="Cambria" w:hAnsi="Cambria"/>
          <w:i/>
        </w:rPr>
        <w:t xml:space="preserve">Ethics in Practice. </w:t>
      </w:r>
      <w:r w:rsidRPr="00E17274">
        <w:rPr>
          <w:rFonts w:ascii="Cambria" w:hAnsi="Cambria"/>
        </w:rPr>
        <w:t>Malden: Blackwell Publishing</w:t>
      </w:r>
    </w:p>
    <w:p w14:paraId="226A4993" w14:textId="77777777" w:rsidR="00523270" w:rsidRPr="00E17274" w:rsidRDefault="00523270" w:rsidP="00523270">
      <w:pPr>
        <w:rPr>
          <w:rFonts w:ascii="Cambria" w:hAnsi="Cambria"/>
        </w:rPr>
      </w:pPr>
    </w:p>
    <w:p w14:paraId="62955C6D" w14:textId="77777777" w:rsidR="00523270" w:rsidRPr="00E17274" w:rsidRDefault="00523270" w:rsidP="00523270">
      <w:pPr>
        <w:rPr>
          <w:rFonts w:ascii="Cambria" w:hAnsi="Cambria"/>
        </w:rPr>
      </w:pPr>
      <w:r w:rsidRPr="00E17274">
        <w:rPr>
          <w:rFonts w:ascii="Cambria" w:hAnsi="Cambria"/>
        </w:rPr>
        <w:t xml:space="preserve">hooks, b. (2000). </w:t>
      </w:r>
      <w:r w:rsidRPr="00E17274">
        <w:rPr>
          <w:rFonts w:ascii="Cambria" w:hAnsi="Cambria"/>
          <w:i/>
        </w:rPr>
        <w:t>Feminism is for Everybody</w:t>
      </w:r>
      <w:r w:rsidRPr="00E17274">
        <w:rPr>
          <w:rFonts w:ascii="Cambria" w:hAnsi="Cambria"/>
        </w:rPr>
        <w:t>. Brooklyn: South End Press</w:t>
      </w:r>
    </w:p>
    <w:p w14:paraId="17079B24" w14:textId="77777777" w:rsidR="00523270" w:rsidRPr="00E17274" w:rsidRDefault="00523270" w:rsidP="00523270">
      <w:pPr>
        <w:rPr>
          <w:rFonts w:ascii="Cambria" w:hAnsi="Cambria"/>
        </w:rPr>
      </w:pPr>
    </w:p>
    <w:p w14:paraId="19D769E1" w14:textId="77777777" w:rsidR="00523270" w:rsidRPr="00E17274" w:rsidRDefault="00523270" w:rsidP="00523270">
      <w:pPr>
        <w:rPr>
          <w:rFonts w:ascii="Cambria" w:hAnsi="Cambria"/>
        </w:rPr>
      </w:pPr>
      <w:r w:rsidRPr="00E17274">
        <w:rPr>
          <w:rFonts w:ascii="Cambria" w:hAnsi="Cambria"/>
        </w:rPr>
        <w:t xml:space="preserve">Aristotle. (2004). </w:t>
      </w:r>
      <w:r w:rsidRPr="00E17274">
        <w:rPr>
          <w:rFonts w:ascii="Cambria" w:hAnsi="Cambria"/>
          <w:i/>
        </w:rPr>
        <w:t>The Nichomachean Ethics</w:t>
      </w:r>
      <w:r w:rsidRPr="00E17274">
        <w:rPr>
          <w:rFonts w:ascii="Cambria" w:hAnsi="Cambria"/>
        </w:rPr>
        <w:t>. Toronto: Penguin Books Canada Ltd.</w:t>
      </w:r>
    </w:p>
    <w:p w14:paraId="7805A03F" w14:textId="77777777" w:rsidR="00523270" w:rsidRPr="00E17274" w:rsidRDefault="00523270" w:rsidP="00523270">
      <w:pPr>
        <w:rPr>
          <w:rFonts w:ascii="Cambria" w:hAnsi="Cambria"/>
        </w:rPr>
      </w:pPr>
    </w:p>
    <w:p w14:paraId="0AE183FB" w14:textId="77777777" w:rsidR="00523270" w:rsidRPr="00E17274" w:rsidRDefault="00523270" w:rsidP="00523270">
      <w:pPr>
        <w:rPr>
          <w:rFonts w:ascii="Cambria" w:hAnsi="Cambria"/>
        </w:rPr>
      </w:pPr>
      <w:r w:rsidRPr="00E17274">
        <w:rPr>
          <w:rFonts w:ascii="Cambria" w:hAnsi="Cambria"/>
        </w:rPr>
        <w:t xml:space="preserve">MacLeod, J.. (2004). </w:t>
      </w:r>
      <w:r w:rsidRPr="00E17274">
        <w:rPr>
          <w:rFonts w:ascii="Cambria" w:hAnsi="Cambria"/>
          <w:i/>
        </w:rPr>
        <w:t>Ain’t No Makin’ It: Aspirations &amp; Attainment in a Low-Income Neighborhood</w:t>
      </w:r>
      <w:r w:rsidRPr="00E17274">
        <w:rPr>
          <w:rFonts w:ascii="Cambria" w:hAnsi="Cambria"/>
        </w:rPr>
        <w:t>. Boulder: Westview Press Inc.</w:t>
      </w:r>
    </w:p>
    <w:p w14:paraId="4F011F48" w14:textId="77777777" w:rsidR="00523270" w:rsidRPr="00207379" w:rsidRDefault="00523270" w:rsidP="00207379">
      <w:pPr>
        <w:tabs>
          <w:tab w:val="left" w:pos="0"/>
        </w:tabs>
        <w:spacing w:line="480" w:lineRule="auto"/>
        <w:rPr>
          <w:rFonts w:ascii="Cambria" w:hAnsi="Cambria"/>
        </w:rPr>
      </w:pPr>
    </w:p>
    <w:sectPr w:rsidR="00523270" w:rsidRPr="00207379" w:rsidSect="00A34984">
      <w:headerReference w:type="default" r:id="rId8"/>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17F4B" w14:textId="77777777" w:rsidR="003818D1" w:rsidRDefault="003818D1" w:rsidP="007F613B">
      <w:r>
        <w:separator/>
      </w:r>
    </w:p>
  </w:endnote>
  <w:endnote w:type="continuationSeparator" w:id="0">
    <w:p w14:paraId="24002112" w14:textId="77777777" w:rsidR="003818D1" w:rsidRDefault="003818D1" w:rsidP="007F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F8412" w14:textId="77777777" w:rsidR="003818D1" w:rsidRDefault="003818D1" w:rsidP="001707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C0CD44" w14:textId="77777777" w:rsidR="003818D1" w:rsidRDefault="003818D1" w:rsidP="001707D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D7932B" w14:textId="77777777" w:rsidR="003818D1" w:rsidRDefault="003818D1" w:rsidP="001707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7E4D">
      <w:rPr>
        <w:rStyle w:val="PageNumber"/>
        <w:noProof/>
      </w:rPr>
      <w:t>1</w:t>
    </w:r>
    <w:r>
      <w:rPr>
        <w:rStyle w:val="PageNumber"/>
      </w:rPr>
      <w:fldChar w:fldCharType="end"/>
    </w:r>
  </w:p>
  <w:p w14:paraId="5FB4D18A" w14:textId="77777777" w:rsidR="003818D1" w:rsidRDefault="003818D1" w:rsidP="001707D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A9E5A" w14:textId="77777777" w:rsidR="003818D1" w:rsidRDefault="003818D1" w:rsidP="007F613B">
      <w:r>
        <w:separator/>
      </w:r>
    </w:p>
  </w:footnote>
  <w:footnote w:type="continuationSeparator" w:id="0">
    <w:p w14:paraId="6570C8BB" w14:textId="77777777" w:rsidR="003818D1" w:rsidRDefault="003818D1" w:rsidP="007F61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E35B4" w14:textId="3064219C" w:rsidR="003818D1" w:rsidRDefault="003818D1">
    <w:pPr>
      <w:pStyle w:val="Header"/>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BC0DE7"/>
    <w:multiLevelType w:val="hybridMultilevel"/>
    <w:tmpl w:val="4B4AD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F52A09"/>
    <w:multiLevelType w:val="hybridMultilevel"/>
    <w:tmpl w:val="9424A61E"/>
    <w:lvl w:ilvl="0" w:tplc="98AC848C">
      <w:start w:val="1"/>
      <w:numFmt w:val="decimal"/>
      <w:lvlText w:val="%1."/>
      <w:lvlJc w:val="left"/>
      <w:pPr>
        <w:ind w:left="420" w:hanging="360"/>
      </w:pPr>
      <w:rPr>
        <w:rFonts w:asciiTheme="minorHAnsi" w:hAnsiTheme="minorHAns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13B"/>
    <w:rsid w:val="00006E46"/>
    <w:rsid w:val="00013B6F"/>
    <w:rsid w:val="00014198"/>
    <w:rsid w:val="000267C0"/>
    <w:rsid w:val="0003472D"/>
    <w:rsid w:val="00056EC9"/>
    <w:rsid w:val="000B3961"/>
    <w:rsid w:val="000B6096"/>
    <w:rsid w:val="000D12A9"/>
    <w:rsid w:val="00116709"/>
    <w:rsid w:val="0012262B"/>
    <w:rsid w:val="00154AB7"/>
    <w:rsid w:val="00154C96"/>
    <w:rsid w:val="00167FDE"/>
    <w:rsid w:val="001707D0"/>
    <w:rsid w:val="001A052D"/>
    <w:rsid w:val="002017ED"/>
    <w:rsid w:val="00207379"/>
    <w:rsid w:val="00216205"/>
    <w:rsid w:val="00222F56"/>
    <w:rsid w:val="0022791D"/>
    <w:rsid w:val="00241E77"/>
    <w:rsid w:val="00265EA3"/>
    <w:rsid w:val="00267963"/>
    <w:rsid w:val="0029149E"/>
    <w:rsid w:val="00296E23"/>
    <w:rsid w:val="002A0919"/>
    <w:rsid w:val="002D17E9"/>
    <w:rsid w:val="00342BB2"/>
    <w:rsid w:val="00356B9A"/>
    <w:rsid w:val="003818D1"/>
    <w:rsid w:val="003932AB"/>
    <w:rsid w:val="003B6AEF"/>
    <w:rsid w:val="003D6761"/>
    <w:rsid w:val="00412B53"/>
    <w:rsid w:val="00416B5C"/>
    <w:rsid w:val="00447E4D"/>
    <w:rsid w:val="00457379"/>
    <w:rsid w:val="00466A25"/>
    <w:rsid w:val="0047062D"/>
    <w:rsid w:val="00483966"/>
    <w:rsid w:val="004A184A"/>
    <w:rsid w:val="004B64E7"/>
    <w:rsid w:val="00523270"/>
    <w:rsid w:val="0052560F"/>
    <w:rsid w:val="0053633C"/>
    <w:rsid w:val="005535F1"/>
    <w:rsid w:val="00573425"/>
    <w:rsid w:val="00591776"/>
    <w:rsid w:val="00634B48"/>
    <w:rsid w:val="00657CDC"/>
    <w:rsid w:val="00676493"/>
    <w:rsid w:val="006B2FA4"/>
    <w:rsid w:val="006C050D"/>
    <w:rsid w:val="006C2899"/>
    <w:rsid w:val="006D6C6E"/>
    <w:rsid w:val="006E0CBA"/>
    <w:rsid w:val="006F41A5"/>
    <w:rsid w:val="00720C9D"/>
    <w:rsid w:val="007528FD"/>
    <w:rsid w:val="00795674"/>
    <w:rsid w:val="007C7CBF"/>
    <w:rsid w:val="007E2829"/>
    <w:rsid w:val="007F513A"/>
    <w:rsid w:val="007F613B"/>
    <w:rsid w:val="008079E7"/>
    <w:rsid w:val="008340CB"/>
    <w:rsid w:val="008430F2"/>
    <w:rsid w:val="00862853"/>
    <w:rsid w:val="00863B53"/>
    <w:rsid w:val="008756B4"/>
    <w:rsid w:val="00891C6C"/>
    <w:rsid w:val="008A0F7B"/>
    <w:rsid w:val="008A4ACA"/>
    <w:rsid w:val="008C638D"/>
    <w:rsid w:val="008F78DD"/>
    <w:rsid w:val="00966D41"/>
    <w:rsid w:val="0099010C"/>
    <w:rsid w:val="00994C44"/>
    <w:rsid w:val="00995ABA"/>
    <w:rsid w:val="00997C15"/>
    <w:rsid w:val="009D4F4D"/>
    <w:rsid w:val="009F50B8"/>
    <w:rsid w:val="009F7BDF"/>
    <w:rsid w:val="00A34984"/>
    <w:rsid w:val="00A56760"/>
    <w:rsid w:val="00A7234E"/>
    <w:rsid w:val="00A73151"/>
    <w:rsid w:val="00A73742"/>
    <w:rsid w:val="00A73B44"/>
    <w:rsid w:val="00AF5DA1"/>
    <w:rsid w:val="00B16335"/>
    <w:rsid w:val="00B27A45"/>
    <w:rsid w:val="00B43554"/>
    <w:rsid w:val="00B559A6"/>
    <w:rsid w:val="00B72687"/>
    <w:rsid w:val="00B7271C"/>
    <w:rsid w:val="00B77581"/>
    <w:rsid w:val="00BB7AA6"/>
    <w:rsid w:val="00BE0FE7"/>
    <w:rsid w:val="00C45E4E"/>
    <w:rsid w:val="00C47576"/>
    <w:rsid w:val="00C543D2"/>
    <w:rsid w:val="00C674D6"/>
    <w:rsid w:val="00C96EB8"/>
    <w:rsid w:val="00CE7FEC"/>
    <w:rsid w:val="00D01225"/>
    <w:rsid w:val="00D4078C"/>
    <w:rsid w:val="00D60C57"/>
    <w:rsid w:val="00DA7AEA"/>
    <w:rsid w:val="00DC206D"/>
    <w:rsid w:val="00DE49F2"/>
    <w:rsid w:val="00DE6628"/>
    <w:rsid w:val="00E512D7"/>
    <w:rsid w:val="00E577AE"/>
    <w:rsid w:val="00E756B3"/>
    <w:rsid w:val="00E9360F"/>
    <w:rsid w:val="00EA2D5D"/>
    <w:rsid w:val="00EC5CB1"/>
    <w:rsid w:val="00EE7DA1"/>
    <w:rsid w:val="00F01E39"/>
    <w:rsid w:val="00F11F6C"/>
    <w:rsid w:val="00F5718C"/>
    <w:rsid w:val="00FC4287"/>
    <w:rsid w:val="00FF72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75F5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13B"/>
    <w:pPr>
      <w:tabs>
        <w:tab w:val="center" w:pos="4320"/>
        <w:tab w:val="right" w:pos="8640"/>
      </w:tabs>
    </w:pPr>
  </w:style>
  <w:style w:type="character" w:customStyle="1" w:styleId="HeaderChar">
    <w:name w:val="Header Char"/>
    <w:basedOn w:val="DefaultParagraphFont"/>
    <w:link w:val="Header"/>
    <w:uiPriority w:val="99"/>
    <w:rsid w:val="007F613B"/>
  </w:style>
  <w:style w:type="paragraph" w:styleId="Footer">
    <w:name w:val="footer"/>
    <w:basedOn w:val="Normal"/>
    <w:link w:val="FooterChar"/>
    <w:uiPriority w:val="99"/>
    <w:unhideWhenUsed/>
    <w:rsid w:val="007F613B"/>
    <w:pPr>
      <w:tabs>
        <w:tab w:val="center" w:pos="4320"/>
        <w:tab w:val="right" w:pos="8640"/>
      </w:tabs>
    </w:pPr>
  </w:style>
  <w:style w:type="character" w:customStyle="1" w:styleId="FooterChar">
    <w:name w:val="Footer Char"/>
    <w:basedOn w:val="DefaultParagraphFont"/>
    <w:link w:val="Footer"/>
    <w:uiPriority w:val="99"/>
    <w:rsid w:val="007F613B"/>
  </w:style>
  <w:style w:type="paragraph" w:styleId="ListParagraph">
    <w:name w:val="List Paragraph"/>
    <w:basedOn w:val="Normal"/>
    <w:uiPriority w:val="34"/>
    <w:qFormat/>
    <w:rsid w:val="007F513A"/>
    <w:pPr>
      <w:ind w:left="720"/>
      <w:contextualSpacing/>
    </w:pPr>
  </w:style>
  <w:style w:type="character" w:styleId="PageNumber">
    <w:name w:val="page number"/>
    <w:basedOn w:val="DefaultParagraphFont"/>
    <w:uiPriority w:val="99"/>
    <w:semiHidden/>
    <w:unhideWhenUsed/>
    <w:rsid w:val="001707D0"/>
  </w:style>
  <w:style w:type="character" w:styleId="Hyperlink">
    <w:name w:val="Hyperlink"/>
    <w:basedOn w:val="DefaultParagraphFont"/>
    <w:uiPriority w:val="99"/>
    <w:unhideWhenUsed/>
    <w:rsid w:val="00523270"/>
    <w:rPr>
      <w:color w:val="0000FF" w:themeColor="hyperlink"/>
      <w:u w:val="single"/>
    </w:rPr>
  </w:style>
  <w:style w:type="character" w:styleId="FollowedHyperlink">
    <w:name w:val="FollowedHyperlink"/>
    <w:basedOn w:val="DefaultParagraphFont"/>
    <w:uiPriority w:val="99"/>
    <w:semiHidden/>
    <w:unhideWhenUsed/>
    <w:rsid w:val="00154C9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13B"/>
    <w:pPr>
      <w:tabs>
        <w:tab w:val="center" w:pos="4320"/>
        <w:tab w:val="right" w:pos="8640"/>
      </w:tabs>
    </w:pPr>
  </w:style>
  <w:style w:type="character" w:customStyle="1" w:styleId="HeaderChar">
    <w:name w:val="Header Char"/>
    <w:basedOn w:val="DefaultParagraphFont"/>
    <w:link w:val="Header"/>
    <w:uiPriority w:val="99"/>
    <w:rsid w:val="007F613B"/>
  </w:style>
  <w:style w:type="paragraph" w:styleId="Footer">
    <w:name w:val="footer"/>
    <w:basedOn w:val="Normal"/>
    <w:link w:val="FooterChar"/>
    <w:uiPriority w:val="99"/>
    <w:unhideWhenUsed/>
    <w:rsid w:val="007F613B"/>
    <w:pPr>
      <w:tabs>
        <w:tab w:val="center" w:pos="4320"/>
        <w:tab w:val="right" w:pos="8640"/>
      </w:tabs>
    </w:pPr>
  </w:style>
  <w:style w:type="character" w:customStyle="1" w:styleId="FooterChar">
    <w:name w:val="Footer Char"/>
    <w:basedOn w:val="DefaultParagraphFont"/>
    <w:link w:val="Footer"/>
    <w:uiPriority w:val="99"/>
    <w:rsid w:val="007F613B"/>
  </w:style>
  <w:style w:type="paragraph" w:styleId="ListParagraph">
    <w:name w:val="List Paragraph"/>
    <w:basedOn w:val="Normal"/>
    <w:uiPriority w:val="34"/>
    <w:qFormat/>
    <w:rsid w:val="007F513A"/>
    <w:pPr>
      <w:ind w:left="720"/>
      <w:contextualSpacing/>
    </w:pPr>
  </w:style>
  <w:style w:type="character" w:styleId="PageNumber">
    <w:name w:val="page number"/>
    <w:basedOn w:val="DefaultParagraphFont"/>
    <w:uiPriority w:val="99"/>
    <w:semiHidden/>
    <w:unhideWhenUsed/>
    <w:rsid w:val="001707D0"/>
  </w:style>
  <w:style w:type="character" w:styleId="Hyperlink">
    <w:name w:val="Hyperlink"/>
    <w:basedOn w:val="DefaultParagraphFont"/>
    <w:uiPriority w:val="99"/>
    <w:unhideWhenUsed/>
    <w:rsid w:val="00523270"/>
    <w:rPr>
      <w:color w:val="0000FF" w:themeColor="hyperlink"/>
      <w:u w:val="single"/>
    </w:rPr>
  </w:style>
  <w:style w:type="character" w:styleId="FollowedHyperlink">
    <w:name w:val="FollowedHyperlink"/>
    <w:basedOn w:val="DefaultParagraphFont"/>
    <w:uiPriority w:val="99"/>
    <w:semiHidden/>
    <w:unhideWhenUsed/>
    <w:rsid w:val="00154C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2381</Words>
  <Characters>13574</Characters>
  <Application>Microsoft Macintosh Word</Application>
  <DocSecurity>0</DocSecurity>
  <Lines>113</Lines>
  <Paragraphs>31</Paragraphs>
  <ScaleCrop>false</ScaleCrop>
  <Company>Carleton University</Company>
  <LinksUpToDate>false</LinksUpToDate>
  <CharactersWithSpaces>15924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Campbell</dc:creator>
  <cp:keywords/>
  <dc:description/>
  <cp:lastModifiedBy>Alex Campbell</cp:lastModifiedBy>
  <cp:revision>2</cp:revision>
  <dcterms:created xsi:type="dcterms:W3CDTF">2013-10-19T02:59:00Z</dcterms:created>
  <dcterms:modified xsi:type="dcterms:W3CDTF">2013-10-19T02:59:00Z</dcterms:modified>
</cp:coreProperties>
</file>