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63C" w:rsidRPr="0021164D" w:rsidRDefault="00D6363C" w:rsidP="00D6363C">
      <w:pPr>
        <w:jc w:val="center"/>
        <w:rPr>
          <w:rFonts w:ascii="Times New Roman" w:hAnsi="Times New Roman" w:cs="Times New Roman"/>
          <w:sz w:val="24"/>
          <w:szCs w:val="24"/>
        </w:rPr>
      </w:pPr>
      <w:r w:rsidRPr="0021164D">
        <w:rPr>
          <w:rFonts w:ascii="Times New Roman" w:hAnsi="Times New Roman" w:cs="Times New Roman"/>
          <w:sz w:val="24"/>
          <w:szCs w:val="24"/>
        </w:rPr>
        <w:t xml:space="preserve">LAWS 2202 B </w:t>
      </w:r>
    </w:p>
    <w:p w:rsidR="00D6363C" w:rsidRPr="0021164D" w:rsidRDefault="00D6363C" w:rsidP="00D6363C">
      <w:pPr>
        <w:jc w:val="center"/>
        <w:rPr>
          <w:rFonts w:ascii="Times New Roman" w:hAnsi="Times New Roman" w:cs="Times New Roman"/>
          <w:sz w:val="24"/>
          <w:szCs w:val="24"/>
        </w:rPr>
      </w:pPr>
      <w:r w:rsidRPr="0021164D">
        <w:rPr>
          <w:rFonts w:ascii="Times New Roman" w:hAnsi="Times New Roman" w:cs="Times New Roman"/>
          <w:sz w:val="24"/>
          <w:szCs w:val="24"/>
        </w:rPr>
        <w:t xml:space="preserve">Final Exam Preparation </w:t>
      </w:r>
    </w:p>
    <w:p w:rsidR="00D6363C" w:rsidRPr="0021164D" w:rsidRDefault="00D6363C" w:rsidP="00D6363C">
      <w:pPr>
        <w:rPr>
          <w:rFonts w:ascii="Times New Roman" w:hAnsi="Times New Roman" w:cs="Times New Roman"/>
          <w:b/>
          <w:sz w:val="24"/>
          <w:szCs w:val="24"/>
        </w:rPr>
      </w:pPr>
      <w:r w:rsidRPr="0021164D">
        <w:rPr>
          <w:rFonts w:ascii="Times New Roman" w:hAnsi="Times New Roman" w:cs="Times New Roman"/>
          <w:b/>
          <w:sz w:val="24"/>
          <w:szCs w:val="24"/>
        </w:rPr>
        <w:t xml:space="preserve">Text: Private Law, Social Life </w:t>
      </w:r>
    </w:p>
    <w:p w:rsidR="00D6363C" w:rsidRPr="0021164D" w:rsidRDefault="00D6363C"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two: </w:t>
      </w:r>
    </w:p>
    <w:p w:rsidR="000516F7" w:rsidRPr="0021164D" w:rsidRDefault="001A28F2" w:rsidP="00D6363C">
      <w:pPr>
        <w:rPr>
          <w:rFonts w:ascii="Times New Roman" w:hAnsi="Times New Roman" w:cs="Times New Roman"/>
          <w:sz w:val="24"/>
          <w:szCs w:val="24"/>
        </w:rPr>
      </w:pPr>
      <w:r w:rsidRPr="0021164D">
        <w:rPr>
          <w:rFonts w:ascii="Times New Roman" w:hAnsi="Times New Roman" w:cs="Times New Roman"/>
          <w:sz w:val="24"/>
          <w:szCs w:val="24"/>
        </w:rPr>
        <w:t>Legal persons:</w:t>
      </w:r>
      <w:r w:rsidR="00B04404" w:rsidRPr="0021164D">
        <w:rPr>
          <w:rFonts w:ascii="Times New Roman" w:hAnsi="Times New Roman" w:cs="Times New Roman"/>
          <w:sz w:val="24"/>
          <w:szCs w:val="24"/>
        </w:rPr>
        <w:t xml:space="preserve"> an individual or group that is allowed by law to take legal action, as plaintiff or defendant. It may include natural persons as well as fictitious persons (such as corporations).</w:t>
      </w:r>
    </w:p>
    <w:p w:rsidR="000516F7" w:rsidRPr="0021164D" w:rsidRDefault="000516F7"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three: </w:t>
      </w:r>
    </w:p>
    <w:p w:rsidR="000516F7" w:rsidRPr="0021164D" w:rsidRDefault="00B04404" w:rsidP="00D6363C">
      <w:pPr>
        <w:rPr>
          <w:rFonts w:ascii="Times New Roman" w:hAnsi="Times New Roman" w:cs="Times New Roman"/>
          <w:sz w:val="24"/>
          <w:szCs w:val="24"/>
        </w:rPr>
      </w:pPr>
      <w:r w:rsidRPr="0021164D">
        <w:rPr>
          <w:rFonts w:ascii="Times New Roman" w:hAnsi="Times New Roman" w:cs="Times New Roman"/>
          <w:sz w:val="24"/>
          <w:szCs w:val="24"/>
        </w:rPr>
        <w:t xml:space="preserve">Four elements of a valid legal contract: </w:t>
      </w:r>
    </w:p>
    <w:p w:rsidR="00B04404" w:rsidRPr="0021164D" w:rsidRDefault="00B04404" w:rsidP="00B04404">
      <w:pPr>
        <w:pStyle w:val="ListParagraph"/>
        <w:numPr>
          <w:ilvl w:val="0"/>
          <w:numId w:val="1"/>
        </w:numPr>
        <w:rPr>
          <w:rFonts w:ascii="Times New Roman" w:hAnsi="Times New Roman" w:cs="Times New Roman"/>
          <w:sz w:val="24"/>
          <w:szCs w:val="24"/>
        </w:rPr>
      </w:pPr>
      <w:r w:rsidRPr="0021164D">
        <w:rPr>
          <w:rFonts w:ascii="Times New Roman" w:hAnsi="Times New Roman" w:cs="Times New Roman"/>
          <w:sz w:val="24"/>
          <w:szCs w:val="24"/>
        </w:rPr>
        <w:t xml:space="preserve">Exchange: both parties must agree on terms of exchange which would result in the completion of the agreed upon contract. </w:t>
      </w:r>
    </w:p>
    <w:p w:rsidR="00B04404" w:rsidRPr="0021164D" w:rsidRDefault="00B04404" w:rsidP="00B04404">
      <w:pPr>
        <w:pStyle w:val="ListParagraph"/>
        <w:numPr>
          <w:ilvl w:val="0"/>
          <w:numId w:val="1"/>
        </w:numPr>
        <w:rPr>
          <w:rFonts w:ascii="Times New Roman" w:hAnsi="Times New Roman" w:cs="Times New Roman"/>
          <w:sz w:val="24"/>
          <w:szCs w:val="24"/>
        </w:rPr>
      </w:pPr>
      <w:r w:rsidRPr="0021164D">
        <w:rPr>
          <w:rFonts w:ascii="Times New Roman" w:hAnsi="Times New Roman" w:cs="Times New Roman"/>
          <w:sz w:val="24"/>
          <w:szCs w:val="24"/>
        </w:rPr>
        <w:t>Coincidence of offer and acceptance and consideration: often enough, w</w:t>
      </w:r>
      <w:r w:rsidR="006D4834" w:rsidRPr="0021164D">
        <w:rPr>
          <w:rFonts w:ascii="Times New Roman" w:hAnsi="Times New Roman" w:cs="Times New Roman"/>
          <w:sz w:val="24"/>
          <w:szCs w:val="24"/>
        </w:rPr>
        <w:t>hen these two elements are met a legally binding relationship is established between the two agreeing parties</w:t>
      </w:r>
    </w:p>
    <w:p w:rsidR="00B04404" w:rsidRPr="0021164D" w:rsidRDefault="00B04404" w:rsidP="00B04404">
      <w:pPr>
        <w:pStyle w:val="ListParagraph"/>
        <w:numPr>
          <w:ilvl w:val="0"/>
          <w:numId w:val="1"/>
        </w:numPr>
        <w:rPr>
          <w:rFonts w:ascii="Times New Roman" w:hAnsi="Times New Roman" w:cs="Times New Roman"/>
          <w:sz w:val="24"/>
          <w:szCs w:val="24"/>
        </w:rPr>
      </w:pPr>
      <w:r w:rsidRPr="0021164D">
        <w:rPr>
          <w:rFonts w:ascii="Times New Roman" w:hAnsi="Times New Roman" w:cs="Times New Roman"/>
          <w:sz w:val="24"/>
          <w:szCs w:val="24"/>
        </w:rPr>
        <w:t>Mental element: this element consists of two related components in order to validate a contract. The first component being the intention to form the contract, and the second being called the “meeting of the minds”. The intention component stipulates that a court shall not validate and enforce the contract if neither one of the parties intended to enter into such a contract to begin with; for example, if someone says that they’d give someone a million dollars to wash their car and someone actually goes ahead and does it under the assumption that they’ll be paid a million dollars. The second component, being the meeting of the minds stipulates that not only must the two parties agree on the contract, but they must also make sure that they are agreeing on the same thing</w:t>
      </w:r>
    </w:p>
    <w:p w:rsidR="00113DC4" w:rsidRPr="0021164D" w:rsidRDefault="00113DC4" w:rsidP="00113DC4">
      <w:pPr>
        <w:ind w:left="360"/>
        <w:rPr>
          <w:rFonts w:ascii="Times New Roman" w:hAnsi="Times New Roman" w:cs="Times New Roman"/>
          <w:sz w:val="24"/>
          <w:szCs w:val="24"/>
        </w:rPr>
      </w:pPr>
      <w:r w:rsidRPr="0021164D">
        <w:rPr>
          <w:rFonts w:ascii="Times New Roman" w:hAnsi="Times New Roman" w:cs="Times New Roman"/>
          <w:sz w:val="24"/>
          <w:szCs w:val="24"/>
        </w:rPr>
        <w:t xml:space="preserve">Excuses of non-performance of a contract: </w:t>
      </w:r>
    </w:p>
    <w:p w:rsidR="00113DC4" w:rsidRPr="0021164D" w:rsidRDefault="00113DC4" w:rsidP="00113DC4">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When someone lacks the legal capacity and means to follow through with their end of the contract</w:t>
      </w:r>
    </w:p>
    <w:p w:rsidR="00113DC4" w:rsidRPr="0021164D" w:rsidRDefault="00113DC4" w:rsidP="00113DC4">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There are four main grounds in which someone can be excused by the courts from a legal contract; they are as follows</w:t>
      </w:r>
    </w:p>
    <w:p w:rsidR="00113DC4" w:rsidRPr="0021164D" w:rsidRDefault="00113DC4" w:rsidP="00113DC4">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 xml:space="preserve">Mistake:  </w:t>
      </w:r>
      <w:r w:rsidR="00A8790E" w:rsidRPr="0021164D">
        <w:rPr>
          <w:rFonts w:ascii="Times New Roman" w:hAnsi="Times New Roman" w:cs="Times New Roman"/>
          <w:sz w:val="24"/>
          <w:szCs w:val="24"/>
        </w:rPr>
        <w:t xml:space="preserve">Generally what constitutes a mistake is when the offering party makes a mistake in their offer the court will instruct the recipient of the offer to not accept the offering parties offer and demand on a strict offer of performance from the offering party. </w:t>
      </w:r>
      <w:r w:rsidRPr="0021164D">
        <w:rPr>
          <w:rFonts w:ascii="Times New Roman" w:hAnsi="Times New Roman" w:cs="Times New Roman"/>
          <w:sz w:val="24"/>
          <w:szCs w:val="24"/>
        </w:rPr>
        <w:t xml:space="preserve">there are two main types of mistakes which can be made which would excuse a party from their legal obligation to a contract. The first mistake is known as a bilateral mistake and that is when </w:t>
      </w:r>
      <w:r w:rsidR="00A8790E" w:rsidRPr="0021164D">
        <w:rPr>
          <w:rFonts w:ascii="Times New Roman" w:hAnsi="Times New Roman" w:cs="Times New Roman"/>
          <w:sz w:val="24"/>
          <w:szCs w:val="24"/>
        </w:rPr>
        <w:t xml:space="preserve">both parties are in the wrong of a contract; the courts will </w:t>
      </w:r>
      <w:r w:rsidR="00A8790E" w:rsidRPr="0021164D">
        <w:rPr>
          <w:rFonts w:ascii="Times New Roman" w:hAnsi="Times New Roman" w:cs="Times New Roman"/>
          <w:sz w:val="24"/>
          <w:szCs w:val="24"/>
        </w:rPr>
        <w:lastRenderedPageBreak/>
        <w:t>usually not enforce these mistakes. The second type of mistake is a unilateral mistake in which a mistake is made by one party of the contract</w:t>
      </w:r>
    </w:p>
    <w:p w:rsidR="00113DC4" w:rsidRPr="0021164D" w:rsidRDefault="00113DC4" w:rsidP="00113DC4">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 xml:space="preserve">Misrepresentation: </w:t>
      </w:r>
      <w:r w:rsidR="00A8790E" w:rsidRPr="0021164D">
        <w:rPr>
          <w:rFonts w:ascii="Times New Roman" w:hAnsi="Times New Roman" w:cs="Times New Roman"/>
          <w:sz w:val="24"/>
          <w:szCs w:val="24"/>
        </w:rPr>
        <w:t xml:space="preserve">is when one party of the contract, usually the offering party gives false or misleading representation of the terms of the contract usually with the intent of doing so to in order to benefit them from the contract in some way. The courts will usually enforce this under the grounds of the party guilty of this being fraudulent. </w:t>
      </w:r>
    </w:p>
    <w:p w:rsidR="00113DC4" w:rsidRPr="0021164D" w:rsidRDefault="00113DC4" w:rsidP="00113DC4">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 xml:space="preserve">Unconscionability: </w:t>
      </w:r>
      <w:r w:rsidR="00A8790E" w:rsidRPr="0021164D">
        <w:rPr>
          <w:rFonts w:ascii="Times New Roman" w:hAnsi="Times New Roman" w:cs="Times New Roman"/>
          <w:sz w:val="24"/>
          <w:szCs w:val="24"/>
        </w:rPr>
        <w:t>otherwise known as duress, this element stipulates that the conduct and terms of the contract was not consented to in good conscience of one party. This element has two factors, economic duress</w:t>
      </w:r>
      <w:r w:rsidR="00B21DFF" w:rsidRPr="0021164D">
        <w:rPr>
          <w:rFonts w:ascii="Times New Roman" w:hAnsi="Times New Roman" w:cs="Times New Roman"/>
          <w:sz w:val="24"/>
          <w:szCs w:val="24"/>
        </w:rPr>
        <w:t xml:space="preserve"> and physical duress.  Both of which involve a compulsion to act by threat of coercion of something</w:t>
      </w:r>
    </w:p>
    <w:p w:rsidR="00E97E6B" w:rsidRPr="0021164D" w:rsidRDefault="00113DC4" w:rsidP="00B21DFF">
      <w:pPr>
        <w:pStyle w:val="ListParagraph"/>
        <w:numPr>
          <w:ilvl w:val="0"/>
          <w:numId w:val="2"/>
        </w:numPr>
        <w:rPr>
          <w:rFonts w:ascii="Times New Roman" w:hAnsi="Times New Roman" w:cs="Times New Roman"/>
          <w:sz w:val="24"/>
          <w:szCs w:val="24"/>
        </w:rPr>
      </w:pPr>
      <w:r w:rsidRPr="0021164D">
        <w:rPr>
          <w:rFonts w:ascii="Times New Roman" w:hAnsi="Times New Roman" w:cs="Times New Roman"/>
          <w:sz w:val="24"/>
          <w:szCs w:val="24"/>
        </w:rPr>
        <w:t>Inequality of bargaining power:</w:t>
      </w:r>
      <w:r w:rsidR="00B21DFF" w:rsidRPr="0021164D">
        <w:rPr>
          <w:rFonts w:ascii="Times New Roman" w:hAnsi="Times New Roman" w:cs="Times New Roman"/>
          <w:sz w:val="24"/>
          <w:szCs w:val="24"/>
        </w:rPr>
        <w:t xml:space="preserve"> is where one party to a "bargain", or some kind of contract or agreement, has more and better alternatives than the other party. This results in one party having greater "power" than the other to choose not to take the deal and makes it more likely that this party will gain more favourable terms. If proven, the courts will often reinforce these contracts and order the violating party to rescind the contract made to the disadvantaged party.</w:t>
      </w:r>
    </w:p>
    <w:p w:rsidR="00113DC4" w:rsidRPr="0021164D" w:rsidRDefault="00E97E6B" w:rsidP="00E97E6B">
      <w:pPr>
        <w:rPr>
          <w:rFonts w:ascii="Times New Roman" w:hAnsi="Times New Roman" w:cs="Times New Roman"/>
          <w:sz w:val="24"/>
          <w:szCs w:val="24"/>
        </w:rPr>
      </w:pPr>
      <w:r w:rsidRPr="0021164D">
        <w:rPr>
          <w:rFonts w:ascii="Times New Roman" w:hAnsi="Times New Roman" w:cs="Times New Roman"/>
          <w:sz w:val="24"/>
          <w:szCs w:val="24"/>
        </w:rPr>
        <w:t xml:space="preserve">Relationship of dependency:  Simply put, a relationship of dependency is a state in which one is dependent on another for support. These relationships are perhaps most obvious in family life dynamics and have been a contentious party of family law relations for the past 200 years. </w:t>
      </w:r>
      <w:r w:rsidR="00617A2A" w:rsidRPr="0021164D">
        <w:rPr>
          <w:rFonts w:ascii="Times New Roman" w:hAnsi="Times New Roman" w:cs="Times New Roman"/>
          <w:sz w:val="24"/>
          <w:szCs w:val="24"/>
        </w:rPr>
        <w:t xml:space="preserve"> Common classifications of legal dependents which were outlined in chapter two of private law, social life include children, women of the family (such as the female spouse), and at times the elderly. </w:t>
      </w:r>
      <w:r w:rsidR="008663F2" w:rsidRPr="0021164D">
        <w:rPr>
          <w:rFonts w:ascii="Times New Roman" w:hAnsi="Times New Roman" w:cs="Times New Roman"/>
          <w:sz w:val="24"/>
          <w:szCs w:val="24"/>
        </w:rPr>
        <w:t xml:space="preserve">An example of this can be seen in the case of Balfour v. Balfour. </w:t>
      </w:r>
    </w:p>
    <w:p w:rsidR="008663F2" w:rsidRPr="0021164D" w:rsidRDefault="008663F2" w:rsidP="00E97E6B">
      <w:pPr>
        <w:rPr>
          <w:rFonts w:ascii="Times New Roman" w:hAnsi="Times New Roman" w:cs="Times New Roman"/>
          <w:sz w:val="24"/>
          <w:szCs w:val="24"/>
          <w:u w:val="single"/>
        </w:rPr>
      </w:pPr>
      <w:r w:rsidRPr="0021164D">
        <w:rPr>
          <w:rFonts w:ascii="Times New Roman" w:hAnsi="Times New Roman" w:cs="Times New Roman"/>
          <w:sz w:val="24"/>
          <w:szCs w:val="24"/>
          <w:u w:val="single"/>
        </w:rPr>
        <w:t>Chapter Six:</w:t>
      </w:r>
    </w:p>
    <w:p w:rsidR="000029D9" w:rsidRPr="0021164D" w:rsidRDefault="009A14F5" w:rsidP="00E97E6B">
      <w:pPr>
        <w:rPr>
          <w:rFonts w:ascii="Times New Roman" w:hAnsi="Times New Roman" w:cs="Times New Roman"/>
          <w:sz w:val="24"/>
          <w:szCs w:val="24"/>
        </w:rPr>
      </w:pPr>
      <w:r w:rsidRPr="0021164D">
        <w:rPr>
          <w:rFonts w:ascii="Times New Roman" w:hAnsi="Times New Roman" w:cs="Times New Roman"/>
          <w:sz w:val="24"/>
          <w:szCs w:val="24"/>
        </w:rPr>
        <w:t>Equity: In its broadest sense, equity is fairness. As a legal system, it is a body of law that addresses concerns that fall outside the jurisdiction of Common Law.  Issues of equity were more or less separated from the jurisdiction of the</w:t>
      </w:r>
      <w:r w:rsidR="000C4349" w:rsidRPr="0021164D">
        <w:rPr>
          <w:rFonts w:ascii="Times New Roman" w:hAnsi="Times New Roman" w:cs="Times New Roman"/>
          <w:sz w:val="24"/>
          <w:szCs w:val="24"/>
        </w:rPr>
        <w:t xml:space="preserve"> main legal</w:t>
      </w:r>
      <w:r w:rsidRPr="0021164D">
        <w:rPr>
          <w:rFonts w:ascii="Times New Roman" w:hAnsi="Times New Roman" w:cs="Times New Roman"/>
          <w:sz w:val="24"/>
          <w:szCs w:val="24"/>
        </w:rPr>
        <w:t xml:space="preserve"> court</w:t>
      </w:r>
      <w:r w:rsidR="000C4349" w:rsidRPr="0021164D">
        <w:rPr>
          <w:rFonts w:ascii="Times New Roman" w:hAnsi="Times New Roman" w:cs="Times New Roman"/>
          <w:sz w:val="24"/>
          <w:szCs w:val="24"/>
        </w:rPr>
        <w:t>s</w:t>
      </w:r>
      <w:r w:rsidRPr="0021164D">
        <w:rPr>
          <w:rFonts w:ascii="Times New Roman" w:hAnsi="Times New Roman" w:cs="Times New Roman"/>
          <w:sz w:val="24"/>
          <w:szCs w:val="24"/>
        </w:rPr>
        <w:t xml:space="preserve"> up until the nineteenth century. The notion of equity can also be used in land issues within the court to obtain the money value of the property in damages done to the property, and so on.</w:t>
      </w:r>
      <w:r w:rsidR="008111AA" w:rsidRPr="0021164D">
        <w:rPr>
          <w:rFonts w:ascii="Times New Roman" w:hAnsi="Times New Roman" w:cs="Times New Roman"/>
          <w:sz w:val="24"/>
          <w:szCs w:val="24"/>
        </w:rPr>
        <w:t xml:space="preserve"> A Court injunction of </w:t>
      </w:r>
      <w:r w:rsidR="000029D9" w:rsidRPr="0021164D">
        <w:rPr>
          <w:rFonts w:ascii="Times New Roman" w:hAnsi="Times New Roman" w:cs="Times New Roman"/>
          <w:sz w:val="24"/>
          <w:szCs w:val="24"/>
        </w:rPr>
        <w:t>equity</w:t>
      </w:r>
      <w:r w:rsidR="008111AA" w:rsidRPr="0021164D">
        <w:rPr>
          <w:rFonts w:ascii="Times New Roman" w:hAnsi="Times New Roman" w:cs="Times New Roman"/>
          <w:sz w:val="24"/>
          <w:szCs w:val="24"/>
        </w:rPr>
        <w:t xml:space="preserve"> is often used in many private law cases today involving breach of contractual duties.</w:t>
      </w:r>
    </w:p>
    <w:p w:rsidR="009A14F5" w:rsidRPr="0021164D" w:rsidRDefault="009A14F5" w:rsidP="00E97E6B">
      <w:pPr>
        <w:rPr>
          <w:rFonts w:ascii="Times New Roman" w:hAnsi="Times New Roman" w:cs="Times New Roman"/>
          <w:sz w:val="24"/>
          <w:szCs w:val="24"/>
        </w:rPr>
      </w:pPr>
      <w:r w:rsidRPr="0021164D">
        <w:rPr>
          <w:rFonts w:ascii="Times New Roman" w:hAnsi="Times New Roman" w:cs="Times New Roman"/>
          <w:sz w:val="24"/>
          <w:szCs w:val="24"/>
        </w:rPr>
        <w:t xml:space="preserve">Fiduciary duties and their nature: </w:t>
      </w:r>
      <w:r w:rsidR="00DF0558" w:rsidRPr="0021164D">
        <w:rPr>
          <w:rFonts w:ascii="Times New Roman" w:hAnsi="Times New Roman" w:cs="Times New Roman"/>
          <w:sz w:val="24"/>
          <w:szCs w:val="24"/>
        </w:rPr>
        <w:t>is a legal or ethical relationship of trust between two or more parties. Typically, a fiduciary prudently takes care of money for another person. One party, for example a corporate trust company or the trust department of a bank, acts in a fiduciary capacity to the other one, who for example has funds entrusted to it for investment. In a fiduciary relationship, one person, in a position of vulnerability, justifiably vests confidence, good faith, reliance and trust in another whose aid, advice or protection is sought in some matter. In such a relation good conscience requires the fiduciary to act at all times for the sole benefit and interest of the one who trusts. Fiduciary duties are considered the highest duty of care in the court of law.</w:t>
      </w:r>
    </w:p>
    <w:p w:rsidR="009A14F5" w:rsidRPr="0021164D" w:rsidRDefault="009A14F5" w:rsidP="00E97E6B">
      <w:pPr>
        <w:rPr>
          <w:rFonts w:ascii="Times New Roman" w:hAnsi="Times New Roman" w:cs="Times New Roman"/>
          <w:sz w:val="24"/>
          <w:szCs w:val="24"/>
          <w:u w:val="single"/>
        </w:rPr>
      </w:pPr>
      <w:r w:rsidRPr="0021164D">
        <w:rPr>
          <w:rFonts w:ascii="Times New Roman" w:hAnsi="Times New Roman" w:cs="Times New Roman"/>
          <w:sz w:val="24"/>
          <w:szCs w:val="24"/>
          <w:u w:val="single"/>
        </w:rPr>
        <w:lastRenderedPageBreak/>
        <w:t>Chapter Seven:</w:t>
      </w:r>
    </w:p>
    <w:p w:rsidR="000029D9" w:rsidRPr="0021164D" w:rsidRDefault="000029D9" w:rsidP="00E97E6B">
      <w:pPr>
        <w:rPr>
          <w:rFonts w:ascii="Times New Roman" w:hAnsi="Times New Roman" w:cs="Times New Roman"/>
          <w:sz w:val="24"/>
          <w:szCs w:val="24"/>
        </w:rPr>
      </w:pPr>
      <w:r w:rsidRPr="0021164D">
        <w:rPr>
          <w:rFonts w:ascii="Times New Roman" w:hAnsi="Times New Roman" w:cs="Times New Roman"/>
          <w:sz w:val="24"/>
          <w:szCs w:val="24"/>
        </w:rPr>
        <w:t xml:space="preserve">Remedy of damages: </w:t>
      </w:r>
      <w:r w:rsidR="00C15DFB" w:rsidRPr="0021164D">
        <w:rPr>
          <w:rFonts w:ascii="Times New Roman" w:hAnsi="Times New Roman" w:cs="Times New Roman"/>
          <w:sz w:val="24"/>
          <w:szCs w:val="24"/>
        </w:rPr>
        <w:t>In law, damages are an award, typically of money, to be paid to a person as compensation for loss or injury. The rules for damages can and frequently do vary based on the type of claim which is presented (e.g., breach of contract versus a tort claim).</w:t>
      </w:r>
      <w:r w:rsidR="002438DE" w:rsidRPr="0021164D">
        <w:rPr>
          <w:rFonts w:ascii="Times New Roman" w:hAnsi="Times New Roman" w:cs="Times New Roman"/>
          <w:sz w:val="24"/>
          <w:szCs w:val="24"/>
        </w:rPr>
        <w:t xml:space="preserve"> Remedies of damages are perhaps the most commonly awarded and requested legal remedies in the litigation process. </w:t>
      </w:r>
    </w:p>
    <w:p w:rsidR="000029D9" w:rsidRPr="0021164D" w:rsidRDefault="000029D9" w:rsidP="00E97E6B">
      <w:pPr>
        <w:rPr>
          <w:rFonts w:ascii="Times New Roman" w:hAnsi="Times New Roman" w:cs="Times New Roman"/>
          <w:sz w:val="24"/>
          <w:szCs w:val="24"/>
        </w:rPr>
      </w:pPr>
      <w:r w:rsidRPr="0021164D">
        <w:rPr>
          <w:rFonts w:ascii="Times New Roman" w:hAnsi="Times New Roman" w:cs="Times New Roman"/>
          <w:sz w:val="24"/>
          <w:szCs w:val="24"/>
        </w:rPr>
        <w:t>Remedies in equity: are judicial remedies developed by courts of equity from about the time of Henry VII to provide more flexible responses to changing social conditions than was possible in precedent-based common law. As discussed in chapter six</w:t>
      </w:r>
      <w:r w:rsidR="00541500" w:rsidRPr="0021164D">
        <w:rPr>
          <w:rFonts w:ascii="Times New Roman" w:hAnsi="Times New Roman" w:cs="Times New Roman"/>
          <w:sz w:val="24"/>
          <w:szCs w:val="24"/>
        </w:rPr>
        <w:t>, equitable remedies were granted by the Court of Chancery in England, and remain available today in most common law jurisdictions. Equitable remedies are distinguished from "legal" remedies (which are available to a successful claimant as of right) by the discretion of the court to grant them .</w:t>
      </w:r>
      <w:r w:rsidR="002438DE" w:rsidRPr="0021164D">
        <w:rPr>
          <w:rFonts w:ascii="Times New Roman" w:hAnsi="Times New Roman" w:cs="Times New Roman"/>
          <w:sz w:val="24"/>
          <w:szCs w:val="24"/>
        </w:rPr>
        <w:t xml:space="preserve"> Remedies of equity are often </w:t>
      </w:r>
      <w:proofErr w:type="spellStart"/>
      <w:r w:rsidR="002438DE" w:rsidRPr="0021164D">
        <w:rPr>
          <w:rFonts w:ascii="Times New Roman" w:hAnsi="Times New Roman" w:cs="Times New Roman"/>
          <w:sz w:val="24"/>
          <w:szCs w:val="24"/>
        </w:rPr>
        <w:t>awareded</w:t>
      </w:r>
      <w:proofErr w:type="spellEnd"/>
      <w:r w:rsidR="002438DE" w:rsidRPr="0021164D">
        <w:rPr>
          <w:rFonts w:ascii="Times New Roman" w:hAnsi="Times New Roman" w:cs="Times New Roman"/>
          <w:sz w:val="24"/>
          <w:szCs w:val="24"/>
        </w:rPr>
        <w:t xml:space="preserve"> when a remedy of damages or other means of financial compensation are simply not sufficient. </w:t>
      </w:r>
      <w:r w:rsidR="00541500" w:rsidRPr="0021164D">
        <w:rPr>
          <w:rFonts w:ascii="Times New Roman" w:hAnsi="Times New Roman" w:cs="Times New Roman"/>
          <w:sz w:val="24"/>
          <w:szCs w:val="24"/>
        </w:rPr>
        <w:t>There are two main types of equitable remedies awarded by the court; they are as follows (two main ones being injunction and specific performance):</w:t>
      </w:r>
    </w:p>
    <w:p w:rsidR="000029D9" w:rsidRPr="0021164D" w:rsidRDefault="000029D9" w:rsidP="00C15DFB">
      <w:pPr>
        <w:pStyle w:val="ListParagraph"/>
        <w:numPr>
          <w:ilvl w:val="0"/>
          <w:numId w:val="3"/>
        </w:numPr>
        <w:rPr>
          <w:rFonts w:ascii="Times New Roman" w:hAnsi="Times New Roman" w:cs="Times New Roman"/>
          <w:sz w:val="24"/>
          <w:szCs w:val="24"/>
        </w:rPr>
      </w:pPr>
      <w:r w:rsidRPr="0021164D">
        <w:rPr>
          <w:rFonts w:ascii="Times New Roman" w:hAnsi="Times New Roman" w:cs="Times New Roman"/>
          <w:sz w:val="24"/>
          <w:szCs w:val="24"/>
        </w:rPr>
        <w:t xml:space="preserve">Remedy of Specific performance: </w:t>
      </w:r>
      <w:r w:rsidR="00C15DFB" w:rsidRPr="0021164D">
        <w:rPr>
          <w:rFonts w:ascii="Times New Roman" w:hAnsi="Times New Roman" w:cs="Times New Roman"/>
          <w:sz w:val="24"/>
          <w:szCs w:val="24"/>
        </w:rPr>
        <w:t>is an order of a court which requires a party to perform a specific act, usually what is stated in a contract. It is an alternative to award/ for awarding damages, and is classed as an equitable remedy</w:t>
      </w:r>
    </w:p>
    <w:p w:rsidR="000029D9" w:rsidRPr="0021164D" w:rsidRDefault="000029D9" w:rsidP="00DF0558">
      <w:pPr>
        <w:pStyle w:val="ListParagraph"/>
        <w:numPr>
          <w:ilvl w:val="0"/>
          <w:numId w:val="3"/>
        </w:numPr>
        <w:rPr>
          <w:rFonts w:ascii="Times New Roman" w:hAnsi="Times New Roman" w:cs="Times New Roman"/>
          <w:sz w:val="24"/>
          <w:szCs w:val="24"/>
        </w:rPr>
      </w:pPr>
      <w:r w:rsidRPr="0021164D">
        <w:rPr>
          <w:rFonts w:ascii="Times New Roman" w:hAnsi="Times New Roman" w:cs="Times New Roman"/>
          <w:sz w:val="24"/>
          <w:szCs w:val="24"/>
        </w:rPr>
        <w:t xml:space="preserve">Remedy of Recession: </w:t>
      </w:r>
      <w:r w:rsidR="00DF0558" w:rsidRPr="0021164D">
        <w:rPr>
          <w:rFonts w:ascii="Times New Roman" w:hAnsi="Times New Roman" w:cs="Times New Roman"/>
          <w:sz w:val="24"/>
          <w:szCs w:val="24"/>
        </w:rPr>
        <w:t>In contract law, rescission has been defined as the unmaking of a contract between parties. Rescission is the unwinding of a transaction. This is done to bring the parties, as far as possible, back to the position in which they were before they entered into a contract</w:t>
      </w:r>
    </w:p>
    <w:p w:rsidR="00541500" w:rsidRPr="0021164D" w:rsidRDefault="00541500" w:rsidP="00DF0558">
      <w:pPr>
        <w:pStyle w:val="ListParagraph"/>
        <w:numPr>
          <w:ilvl w:val="0"/>
          <w:numId w:val="3"/>
        </w:numPr>
        <w:rPr>
          <w:rFonts w:ascii="Times New Roman" w:hAnsi="Times New Roman" w:cs="Times New Roman"/>
          <w:sz w:val="24"/>
          <w:szCs w:val="24"/>
        </w:rPr>
      </w:pPr>
      <w:r w:rsidRPr="0021164D">
        <w:rPr>
          <w:rFonts w:ascii="Times New Roman" w:hAnsi="Times New Roman" w:cs="Times New Roman"/>
          <w:sz w:val="24"/>
          <w:szCs w:val="24"/>
        </w:rPr>
        <w:t>Injunction:</w:t>
      </w:r>
      <w:r w:rsidR="00DF0558" w:rsidRPr="0021164D">
        <w:rPr>
          <w:rFonts w:ascii="Times New Roman" w:hAnsi="Times New Roman" w:cs="Times New Roman"/>
          <w:sz w:val="24"/>
          <w:szCs w:val="24"/>
        </w:rPr>
        <w:t xml:space="preserve"> An injunction is an equitable remedy in the form of a court order that requires a party to do or refrain from doing specific acts. A party that fails to comply with an injunction faces criminal or civil penalties and may have to pay damages or accept sanctions. In some cases, breaches of injunctions are considered serious criminal offenses that merit arrest and possible prison sentences. The rationale behind injunctions is to make whole again someone whose rights have been violated.</w:t>
      </w:r>
    </w:p>
    <w:p w:rsidR="003331F5" w:rsidRPr="0021164D" w:rsidRDefault="003331F5" w:rsidP="00D6363C">
      <w:pPr>
        <w:rPr>
          <w:rFonts w:ascii="Times New Roman" w:hAnsi="Times New Roman" w:cs="Times New Roman"/>
          <w:b/>
          <w:sz w:val="24"/>
          <w:szCs w:val="24"/>
        </w:rPr>
      </w:pPr>
      <w:r w:rsidRPr="0021164D">
        <w:rPr>
          <w:rFonts w:ascii="Times New Roman" w:hAnsi="Times New Roman" w:cs="Times New Roman"/>
          <w:b/>
          <w:sz w:val="24"/>
          <w:szCs w:val="24"/>
        </w:rPr>
        <w:t xml:space="preserve">Lecture material: </w:t>
      </w:r>
    </w:p>
    <w:p w:rsidR="003331F5" w:rsidRPr="0021164D" w:rsidRDefault="003331F5"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One: </w:t>
      </w:r>
    </w:p>
    <w:p w:rsidR="003331F5" w:rsidRPr="0021164D" w:rsidRDefault="003331F5" w:rsidP="00D6363C">
      <w:pPr>
        <w:rPr>
          <w:rFonts w:ascii="Times New Roman" w:hAnsi="Times New Roman" w:cs="Times New Roman"/>
          <w:sz w:val="24"/>
          <w:szCs w:val="24"/>
        </w:rPr>
      </w:pPr>
      <w:r w:rsidRPr="0021164D">
        <w:rPr>
          <w:rFonts w:ascii="Times New Roman" w:hAnsi="Times New Roman" w:cs="Times New Roman"/>
          <w:sz w:val="24"/>
          <w:szCs w:val="24"/>
        </w:rPr>
        <w:t xml:space="preserve">Three types of legal obligation (contracts, torts, fiduciary responsibility): </w:t>
      </w:r>
    </w:p>
    <w:p w:rsidR="00B02935" w:rsidRPr="0021164D" w:rsidRDefault="00B02935" w:rsidP="00B02935">
      <w:pPr>
        <w:pStyle w:val="ListParagraph"/>
        <w:numPr>
          <w:ilvl w:val="0"/>
          <w:numId w:val="11"/>
        </w:numPr>
        <w:rPr>
          <w:rFonts w:ascii="Times New Roman" w:hAnsi="Times New Roman" w:cs="Times New Roman"/>
          <w:sz w:val="24"/>
          <w:szCs w:val="24"/>
        </w:rPr>
      </w:pPr>
      <w:r w:rsidRPr="0021164D">
        <w:rPr>
          <w:rFonts w:ascii="Times New Roman" w:hAnsi="Times New Roman" w:cs="Times New Roman"/>
          <w:sz w:val="24"/>
          <w:szCs w:val="24"/>
        </w:rPr>
        <w:t>Contracts are legal obligations which represent the idea of voluntary relationships. We choose our obligations and we are not compelled into such a relationship. However, once we enter into such a relationship we are bound by it</w:t>
      </w:r>
    </w:p>
    <w:p w:rsidR="00B02935" w:rsidRPr="0021164D" w:rsidRDefault="00B02935" w:rsidP="00B02935">
      <w:pPr>
        <w:pStyle w:val="ListParagraph"/>
        <w:numPr>
          <w:ilvl w:val="0"/>
          <w:numId w:val="11"/>
        </w:numPr>
        <w:rPr>
          <w:rFonts w:ascii="Times New Roman" w:hAnsi="Times New Roman" w:cs="Times New Roman"/>
          <w:sz w:val="24"/>
          <w:szCs w:val="24"/>
        </w:rPr>
      </w:pPr>
      <w:r w:rsidRPr="0021164D">
        <w:rPr>
          <w:rFonts w:ascii="Times New Roman" w:hAnsi="Times New Roman" w:cs="Times New Roman"/>
          <w:sz w:val="24"/>
          <w:szCs w:val="24"/>
        </w:rPr>
        <w:lastRenderedPageBreak/>
        <w:t xml:space="preserve">Torts are legal obligations which are imposed upon us by law. They are not subjected to individual choice like contracts are. For example, everyone who is a driver owes a duty of care to other drivers on the road in regards to their safety </w:t>
      </w:r>
    </w:p>
    <w:p w:rsidR="00B02935" w:rsidRPr="0021164D" w:rsidRDefault="00B02935" w:rsidP="00B02935">
      <w:pPr>
        <w:pStyle w:val="ListParagraph"/>
        <w:numPr>
          <w:ilvl w:val="0"/>
          <w:numId w:val="11"/>
        </w:numPr>
        <w:rPr>
          <w:rFonts w:ascii="Times New Roman" w:hAnsi="Times New Roman" w:cs="Times New Roman"/>
          <w:sz w:val="24"/>
          <w:szCs w:val="24"/>
        </w:rPr>
      </w:pPr>
      <w:r w:rsidRPr="0021164D">
        <w:rPr>
          <w:rFonts w:ascii="Times New Roman" w:hAnsi="Times New Roman" w:cs="Times New Roman"/>
          <w:sz w:val="24"/>
          <w:szCs w:val="24"/>
        </w:rPr>
        <w:t>Fiduciary responsibilities are legal obligations which are based off trust. They are obligations imposed upon us by the law. It is a situation in which one person has an obligation to another person to take care of them. For example, doctors have a fiduciary responsibility to do what is best for their patients.  Part of the reason why these are relationships of trust is because one party has a supposed expertise which makes it so that one party can foresee and prevent any complication within the relationship which can come to harm the other respective party involved.</w:t>
      </w:r>
    </w:p>
    <w:p w:rsidR="003331F5" w:rsidRPr="0021164D" w:rsidRDefault="003331F5" w:rsidP="00D6363C">
      <w:pPr>
        <w:rPr>
          <w:rFonts w:ascii="Times New Roman" w:hAnsi="Times New Roman" w:cs="Times New Roman"/>
          <w:sz w:val="24"/>
          <w:szCs w:val="24"/>
        </w:rPr>
      </w:pPr>
      <w:r w:rsidRPr="0021164D">
        <w:rPr>
          <w:rFonts w:ascii="Times New Roman" w:hAnsi="Times New Roman" w:cs="Times New Roman"/>
          <w:sz w:val="24"/>
          <w:szCs w:val="24"/>
        </w:rPr>
        <w:t xml:space="preserve">Private law: </w:t>
      </w:r>
      <w:r w:rsidR="0038095C" w:rsidRPr="0021164D">
        <w:rPr>
          <w:rFonts w:ascii="Times New Roman" w:hAnsi="Times New Roman" w:cs="Times New Roman"/>
          <w:sz w:val="24"/>
          <w:szCs w:val="24"/>
        </w:rPr>
        <w:t xml:space="preserve">is a part of the civil law legal system which pertains to the relationships between individuals such as </w:t>
      </w:r>
      <w:r w:rsidR="00B02935" w:rsidRPr="0021164D">
        <w:rPr>
          <w:rFonts w:ascii="Times New Roman" w:hAnsi="Times New Roman" w:cs="Times New Roman"/>
          <w:sz w:val="24"/>
          <w:szCs w:val="24"/>
        </w:rPr>
        <w:t>the laws of contracts and torts. It is to be distinguished from public law, which deals with relationships between both natural and artificial persons (i.e., organizations) and the state</w:t>
      </w:r>
    </w:p>
    <w:p w:rsidR="003331F5" w:rsidRPr="0021164D" w:rsidRDefault="003331F5" w:rsidP="00D6363C">
      <w:pPr>
        <w:rPr>
          <w:rFonts w:ascii="Times New Roman" w:hAnsi="Times New Roman" w:cs="Times New Roman"/>
          <w:sz w:val="24"/>
          <w:szCs w:val="24"/>
        </w:rPr>
      </w:pPr>
      <w:r w:rsidRPr="0021164D">
        <w:rPr>
          <w:rFonts w:ascii="Times New Roman" w:hAnsi="Times New Roman" w:cs="Times New Roman"/>
          <w:sz w:val="24"/>
          <w:szCs w:val="24"/>
        </w:rPr>
        <w:t xml:space="preserve">Donoghue v. Stevenson:  </w:t>
      </w:r>
      <w:r w:rsidR="0038095C" w:rsidRPr="0021164D">
        <w:rPr>
          <w:rFonts w:ascii="Times New Roman" w:hAnsi="Times New Roman" w:cs="Times New Roman"/>
          <w:sz w:val="24"/>
          <w:szCs w:val="24"/>
        </w:rPr>
        <w:t>A historic case which has formed much of the basis today for English common law and has created the concept of negligence. It started when the plaintiff, Mrs. Donoghue was drinking a bottle of ginger beer in a cafe in Paisley, Renfrewshire. A snail was in the bottle. She fell ill, and she sued the ginger beer manufacturer, Mr. Stevenson. The court held that the manufacturer owed a duty of care to her, which was breached, because it was reasonably foreseeable that failure to ensure the product's safety would lead to harm of consumers.</w:t>
      </w:r>
    </w:p>
    <w:p w:rsidR="001A28F2" w:rsidRPr="0021164D" w:rsidRDefault="001A28F2"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Two: </w:t>
      </w:r>
    </w:p>
    <w:p w:rsidR="00757B37" w:rsidRPr="0021164D" w:rsidRDefault="00757B37" w:rsidP="00D6363C">
      <w:pPr>
        <w:rPr>
          <w:rFonts w:ascii="Times New Roman" w:hAnsi="Times New Roman" w:cs="Times New Roman"/>
          <w:sz w:val="24"/>
          <w:szCs w:val="24"/>
        </w:rPr>
      </w:pPr>
      <w:r w:rsidRPr="0021164D">
        <w:rPr>
          <w:rFonts w:ascii="Times New Roman" w:hAnsi="Times New Roman" w:cs="Times New Roman"/>
          <w:sz w:val="24"/>
          <w:szCs w:val="24"/>
        </w:rPr>
        <w:t xml:space="preserve">Theories of contract: </w:t>
      </w:r>
    </w:p>
    <w:p w:rsidR="00757B37" w:rsidRPr="0021164D" w:rsidRDefault="00757B37" w:rsidP="00757B37">
      <w:pPr>
        <w:pStyle w:val="ListParagraph"/>
        <w:numPr>
          <w:ilvl w:val="0"/>
          <w:numId w:val="4"/>
        </w:numPr>
        <w:rPr>
          <w:rFonts w:ascii="Times New Roman" w:hAnsi="Times New Roman" w:cs="Times New Roman"/>
          <w:sz w:val="24"/>
          <w:szCs w:val="24"/>
        </w:rPr>
      </w:pPr>
      <w:r w:rsidRPr="0021164D">
        <w:rPr>
          <w:rFonts w:ascii="Times New Roman" w:hAnsi="Times New Roman" w:cs="Times New Roman"/>
          <w:sz w:val="24"/>
          <w:szCs w:val="24"/>
        </w:rPr>
        <w:t xml:space="preserve">The Promise theory of contract: </w:t>
      </w:r>
      <w:r w:rsidR="00DF252F" w:rsidRPr="0021164D">
        <w:rPr>
          <w:rFonts w:ascii="Times New Roman" w:hAnsi="Times New Roman" w:cs="Times New Roman"/>
          <w:sz w:val="24"/>
          <w:szCs w:val="24"/>
        </w:rPr>
        <w:t>promise theory of contracts stipulates that contracts are made through promises which should be kept and not broken. The reason for this is there is a moral obligation attached to making a promise with another party. A covenant is established between the parties involved and it must not be broken at any point. (ex: God’s covenant to Noah that he would never destroy the earth again with a great flood; despite how much humans may come to spite God in the future)</w:t>
      </w:r>
    </w:p>
    <w:p w:rsidR="00757B37" w:rsidRPr="0021164D" w:rsidRDefault="00757B37" w:rsidP="00757B37">
      <w:pPr>
        <w:pStyle w:val="ListParagraph"/>
        <w:numPr>
          <w:ilvl w:val="0"/>
          <w:numId w:val="4"/>
        </w:numPr>
        <w:rPr>
          <w:rFonts w:ascii="Times New Roman" w:hAnsi="Times New Roman" w:cs="Times New Roman"/>
          <w:sz w:val="24"/>
          <w:szCs w:val="24"/>
        </w:rPr>
      </w:pPr>
      <w:r w:rsidRPr="0021164D">
        <w:rPr>
          <w:rFonts w:ascii="Times New Roman" w:hAnsi="Times New Roman" w:cs="Times New Roman"/>
          <w:sz w:val="24"/>
          <w:szCs w:val="24"/>
        </w:rPr>
        <w:t xml:space="preserve">The will theory of contract: </w:t>
      </w:r>
      <w:r w:rsidR="00DF252F" w:rsidRPr="0021164D">
        <w:rPr>
          <w:rFonts w:ascii="Times New Roman" w:hAnsi="Times New Roman" w:cs="Times New Roman"/>
          <w:sz w:val="24"/>
          <w:szCs w:val="24"/>
        </w:rPr>
        <w:t xml:space="preserve"> the will theory of contracts stipulates that contracts are agreements made between two parties. Under this theory, contracts are considered expressions of human will and as such should be respected. You can break the contract so long as you pay the damages associated with walking away and breaching that said contract.</w:t>
      </w:r>
    </w:p>
    <w:p w:rsidR="00757B37" w:rsidRPr="0021164D" w:rsidRDefault="00757B37" w:rsidP="00757B37">
      <w:pPr>
        <w:pStyle w:val="ListParagraph"/>
        <w:numPr>
          <w:ilvl w:val="0"/>
          <w:numId w:val="4"/>
        </w:numPr>
        <w:rPr>
          <w:rFonts w:ascii="Times New Roman" w:hAnsi="Times New Roman" w:cs="Times New Roman"/>
          <w:sz w:val="24"/>
          <w:szCs w:val="24"/>
        </w:rPr>
      </w:pPr>
      <w:r w:rsidRPr="0021164D">
        <w:rPr>
          <w:rFonts w:ascii="Times New Roman" w:hAnsi="Times New Roman" w:cs="Times New Roman"/>
          <w:sz w:val="24"/>
          <w:szCs w:val="24"/>
        </w:rPr>
        <w:t xml:space="preserve">The Reasonable Expectation of Contract: </w:t>
      </w:r>
      <w:r w:rsidR="00DF252F" w:rsidRPr="0021164D">
        <w:rPr>
          <w:rFonts w:ascii="Times New Roman" w:hAnsi="Times New Roman" w:cs="Times New Roman"/>
          <w:sz w:val="24"/>
          <w:szCs w:val="24"/>
        </w:rPr>
        <w:t xml:space="preserve"> the reasonable expectation of contract stipulates that all contracts are always an expression of will. It suggest that contracts creates certain expectations which must be fulfilled if the contract is agreed upon between two parties. </w:t>
      </w:r>
    </w:p>
    <w:p w:rsidR="00757B37" w:rsidRPr="0021164D" w:rsidRDefault="00757B37" w:rsidP="00757B37">
      <w:pPr>
        <w:rPr>
          <w:rFonts w:ascii="Times New Roman" w:hAnsi="Times New Roman" w:cs="Times New Roman"/>
          <w:sz w:val="24"/>
          <w:szCs w:val="24"/>
        </w:rPr>
      </w:pPr>
      <w:r w:rsidRPr="0021164D">
        <w:rPr>
          <w:rFonts w:ascii="Times New Roman" w:hAnsi="Times New Roman" w:cs="Times New Roman"/>
          <w:sz w:val="24"/>
          <w:szCs w:val="24"/>
        </w:rPr>
        <w:lastRenderedPageBreak/>
        <w:t xml:space="preserve">Legal requirements for a legally binding contract: </w:t>
      </w:r>
    </w:p>
    <w:p w:rsidR="00757B37" w:rsidRPr="0021164D" w:rsidRDefault="00757B37" w:rsidP="00757B37">
      <w:pPr>
        <w:pStyle w:val="ListParagraph"/>
        <w:numPr>
          <w:ilvl w:val="0"/>
          <w:numId w:val="5"/>
        </w:numPr>
        <w:rPr>
          <w:rFonts w:ascii="Times New Roman" w:hAnsi="Times New Roman" w:cs="Times New Roman"/>
          <w:sz w:val="24"/>
          <w:szCs w:val="24"/>
        </w:rPr>
      </w:pPr>
      <w:r w:rsidRPr="0021164D">
        <w:rPr>
          <w:rFonts w:ascii="Times New Roman" w:hAnsi="Times New Roman" w:cs="Times New Roman"/>
          <w:sz w:val="24"/>
          <w:szCs w:val="24"/>
        </w:rPr>
        <w:t>The o</w:t>
      </w:r>
      <w:r w:rsidR="00E35EAD">
        <w:rPr>
          <w:rFonts w:ascii="Times New Roman" w:hAnsi="Times New Roman" w:cs="Times New Roman"/>
          <w:sz w:val="24"/>
          <w:szCs w:val="24"/>
        </w:rPr>
        <w:t>ff</w:t>
      </w:r>
      <w:r w:rsidRPr="0021164D">
        <w:rPr>
          <w:rFonts w:ascii="Times New Roman" w:hAnsi="Times New Roman" w:cs="Times New Roman"/>
          <w:sz w:val="24"/>
          <w:szCs w:val="24"/>
        </w:rPr>
        <w:t xml:space="preserve">er: offers and counter offers of exchange are considered before the contract is finalized and agreed upon </w:t>
      </w:r>
    </w:p>
    <w:p w:rsidR="00757B37" w:rsidRPr="0021164D" w:rsidRDefault="00757B37" w:rsidP="00757B37">
      <w:pPr>
        <w:pStyle w:val="ListParagraph"/>
        <w:numPr>
          <w:ilvl w:val="0"/>
          <w:numId w:val="5"/>
        </w:numPr>
        <w:rPr>
          <w:rFonts w:ascii="Times New Roman" w:hAnsi="Times New Roman" w:cs="Times New Roman"/>
          <w:sz w:val="24"/>
          <w:szCs w:val="24"/>
        </w:rPr>
      </w:pPr>
      <w:r w:rsidRPr="0021164D">
        <w:rPr>
          <w:rFonts w:ascii="Times New Roman" w:hAnsi="Times New Roman" w:cs="Times New Roman"/>
          <w:sz w:val="24"/>
          <w:szCs w:val="24"/>
        </w:rPr>
        <w:t xml:space="preserve">The acceptance of the offer made: a contract cannot be legally binding if it isn’t agreed upon by all parties involved </w:t>
      </w:r>
    </w:p>
    <w:p w:rsidR="00757B37" w:rsidRPr="0021164D" w:rsidRDefault="00757B37" w:rsidP="00757B37">
      <w:pPr>
        <w:pStyle w:val="ListParagraph"/>
        <w:numPr>
          <w:ilvl w:val="0"/>
          <w:numId w:val="5"/>
        </w:numPr>
        <w:rPr>
          <w:rFonts w:ascii="Times New Roman" w:hAnsi="Times New Roman" w:cs="Times New Roman"/>
          <w:sz w:val="24"/>
          <w:szCs w:val="24"/>
        </w:rPr>
      </w:pPr>
      <w:r w:rsidRPr="0021164D">
        <w:rPr>
          <w:rFonts w:ascii="Times New Roman" w:hAnsi="Times New Roman" w:cs="Times New Roman"/>
          <w:sz w:val="24"/>
          <w:szCs w:val="24"/>
        </w:rPr>
        <w:t>Consideration of the offer:  without consideration of the contract on both sides, the contract is not legally enforceable. Both parties must have an obligation under the contract</w:t>
      </w:r>
    </w:p>
    <w:p w:rsidR="00757B37" w:rsidRPr="0021164D" w:rsidRDefault="00757B37" w:rsidP="00757B37">
      <w:pPr>
        <w:pStyle w:val="ListParagraph"/>
        <w:numPr>
          <w:ilvl w:val="0"/>
          <w:numId w:val="5"/>
        </w:numPr>
        <w:rPr>
          <w:rFonts w:ascii="Times New Roman" w:hAnsi="Times New Roman" w:cs="Times New Roman"/>
          <w:sz w:val="24"/>
          <w:szCs w:val="24"/>
        </w:rPr>
      </w:pPr>
      <w:r w:rsidRPr="0021164D">
        <w:rPr>
          <w:rFonts w:ascii="Times New Roman" w:hAnsi="Times New Roman" w:cs="Times New Roman"/>
          <w:sz w:val="24"/>
          <w:szCs w:val="24"/>
        </w:rPr>
        <w:t xml:space="preserve">Intention to create legal relations: the intention on all parties involved in the deal to bind themselves legally to the contract being made and carried out </w:t>
      </w:r>
    </w:p>
    <w:p w:rsidR="00757B37" w:rsidRPr="0021164D" w:rsidRDefault="00757B37" w:rsidP="00757B37">
      <w:pPr>
        <w:pStyle w:val="ListParagraph"/>
        <w:numPr>
          <w:ilvl w:val="0"/>
          <w:numId w:val="5"/>
        </w:numPr>
        <w:rPr>
          <w:rFonts w:ascii="Times New Roman" w:hAnsi="Times New Roman" w:cs="Times New Roman"/>
          <w:sz w:val="24"/>
          <w:szCs w:val="24"/>
        </w:rPr>
      </w:pPr>
      <w:r w:rsidRPr="0021164D">
        <w:rPr>
          <w:rFonts w:ascii="Times New Roman" w:hAnsi="Times New Roman" w:cs="Times New Roman"/>
          <w:sz w:val="24"/>
          <w:szCs w:val="24"/>
        </w:rPr>
        <w:t xml:space="preserve">Implicit legal capacity </w:t>
      </w:r>
    </w:p>
    <w:p w:rsidR="00B02935" w:rsidRPr="0021164D" w:rsidRDefault="00B02935" w:rsidP="00757B37">
      <w:pPr>
        <w:rPr>
          <w:rFonts w:ascii="Times New Roman" w:hAnsi="Times New Roman" w:cs="Times New Roman"/>
          <w:sz w:val="24"/>
          <w:szCs w:val="24"/>
        </w:rPr>
      </w:pPr>
    </w:p>
    <w:p w:rsidR="00B02935" w:rsidRPr="0021164D" w:rsidRDefault="00B02935" w:rsidP="00757B37">
      <w:pPr>
        <w:rPr>
          <w:rFonts w:ascii="Times New Roman" w:hAnsi="Times New Roman" w:cs="Times New Roman"/>
          <w:sz w:val="24"/>
          <w:szCs w:val="24"/>
        </w:rPr>
      </w:pPr>
    </w:p>
    <w:p w:rsidR="00757B37" w:rsidRPr="0021164D" w:rsidRDefault="00757B37" w:rsidP="00757B37">
      <w:pPr>
        <w:rPr>
          <w:rFonts w:ascii="Times New Roman" w:hAnsi="Times New Roman" w:cs="Times New Roman"/>
          <w:sz w:val="24"/>
          <w:szCs w:val="24"/>
        </w:rPr>
      </w:pP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xml:space="preserve"> v. Carbolic Smoke Ball Co.: </w:t>
      </w:r>
    </w:p>
    <w:p w:rsidR="00757B37" w:rsidRPr="0021164D" w:rsidRDefault="00757B37" w:rsidP="00757B37">
      <w:pPr>
        <w:pStyle w:val="ListParagraph"/>
        <w:numPr>
          <w:ilvl w:val="0"/>
          <w:numId w:val="6"/>
        </w:numPr>
        <w:rPr>
          <w:rFonts w:ascii="Times New Roman" w:hAnsi="Times New Roman" w:cs="Times New Roman"/>
          <w:sz w:val="24"/>
          <w:szCs w:val="24"/>
        </w:rPr>
      </w:pP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xml:space="preserve"> v. Carbolic Smoke Ball Co. pertains to issues surrounding the nature of a legally binding contract</w:t>
      </w:r>
    </w:p>
    <w:p w:rsidR="00757B37" w:rsidRPr="0021164D" w:rsidRDefault="00757B37" w:rsidP="00757B37">
      <w:pPr>
        <w:pStyle w:val="ListParagraph"/>
        <w:numPr>
          <w:ilvl w:val="0"/>
          <w:numId w:val="6"/>
        </w:numPr>
        <w:rPr>
          <w:rFonts w:ascii="Times New Roman" w:hAnsi="Times New Roman" w:cs="Times New Roman"/>
          <w:sz w:val="24"/>
          <w:szCs w:val="24"/>
        </w:rPr>
      </w:pPr>
      <w:r w:rsidRPr="0021164D">
        <w:rPr>
          <w:rFonts w:ascii="Times New Roman" w:hAnsi="Times New Roman" w:cs="Times New Roman"/>
          <w:sz w:val="24"/>
          <w:szCs w:val="24"/>
        </w:rPr>
        <w:t>In this case, a company advertised on their product that the use of their product would guarantee the user protection from the influenza virus. The company was so confident in their claim and the quality of their product that they guaranteed on the product packaging that if the user got the influenza virus after its use they would give that person 100 English pounds</w:t>
      </w:r>
    </w:p>
    <w:p w:rsidR="00757B37" w:rsidRPr="0021164D" w:rsidRDefault="00757B37" w:rsidP="00757B37">
      <w:pPr>
        <w:pStyle w:val="ListParagraph"/>
        <w:numPr>
          <w:ilvl w:val="0"/>
          <w:numId w:val="6"/>
        </w:numPr>
        <w:rPr>
          <w:rFonts w:ascii="Times New Roman" w:hAnsi="Times New Roman" w:cs="Times New Roman"/>
          <w:sz w:val="24"/>
          <w:szCs w:val="24"/>
        </w:rPr>
      </w:pPr>
      <w:r w:rsidRPr="0021164D">
        <w:rPr>
          <w:rFonts w:ascii="Times New Roman" w:hAnsi="Times New Roman" w:cs="Times New Roman"/>
          <w:sz w:val="24"/>
          <w:szCs w:val="24"/>
        </w:rPr>
        <w:t xml:space="preserve">The plaintiff, </w:t>
      </w: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xml:space="preserve"> purchased and used this product and ended up getting influenza. Upon asking the company for compensation the company refused her. Thus, </w:t>
      </w: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xml:space="preserve"> sued the company for breach of contract. </w:t>
      </w:r>
      <w:r w:rsidR="00EF671B" w:rsidRPr="0021164D">
        <w:rPr>
          <w:rFonts w:ascii="Times New Roman" w:hAnsi="Times New Roman" w:cs="Times New Roman"/>
          <w:sz w:val="24"/>
          <w:szCs w:val="24"/>
        </w:rPr>
        <w:t xml:space="preserve"> </w:t>
      </w:r>
    </w:p>
    <w:p w:rsidR="00EF671B" w:rsidRPr="0021164D" w:rsidRDefault="00EF671B" w:rsidP="00757B37">
      <w:pPr>
        <w:pStyle w:val="ListParagraph"/>
        <w:numPr>
          <w:ilvl w:val="0"/>
          <w:numId w:val="6"/>
        </w:numPr>
        <w:rPr>
          <w:rFonts w:ascii="Times New Roman" w:hAnsi="Times New Roman" w:cs="Times New Roman"/>
          <w:sz w:val="24"/>
          <w:szCs w:val="24"/>
        </w:rPr>
      </w:pPr>
      <w:r w:rsidRPr="0021164D">
        <w:rPr>
          <w:rFonts w:ascii="Times New Roman" w:hAnsi="Times New Roman" w:cs="Times New Roman"/>
          <w:sz w:val="24"/>
          <w:szCs w:val="24"/>
        </w:rPr>
        <w:t xml:space="preserve">In their defense, the company claimed that there was no established contract made and agreed upon between the two parties involved in this hearing. They claimed that no consideration of an offer was made as well as no real exchange either; they also claimed that the message on the product packaging was not enough to be taken seriously (contracts cannot be made off of marketing ploys) </w:t>
      </w:r>
    </w:p>
    <w:p w:rsidR="00EF671B" w:rsidRPr="0021164D" w:rsidRDefault="00EF671B" w:rsidP="00EF671B">
      <w:pPr>
        <w:pStyle w:val="ListParagraph"/>
        <w:numPr>
          <w:ilvl w:val="0"/>
          <w:numId w:val="6"/>
        </w:numPr>
        <w:rPr>
          <w:rFonts w:ascii="Times New Roman" w:hAnsi="Times New Roman" w:cs="Times New Roman"/>
          <w:sz w:val="24"/>
          <w:szCs w:val="24"/>
        </w:rPr>
      </w:pPr>
      <w:r w:rsidRPr="0021164D">
        <w:rPr>
          <w:rFonts w:ascii="Times New Roman" w:hAnsi="Times New Roman" w:cs="Times New Roman"/>
          <w:sz w:val="24"/>
          <w:szCs w:val="24"/>
        </w:rPr>
        <w:t xml:space="preserve">The court ruled in favour of Ms. </w:t>
      </w: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They claimed that an implicit offer was made on the product packaging. There was no question in clarity or intentions on the product packaging to show that the company did not have a serious intent to establish a contract between the company and the consumer</w:t>
      </w:r>
    </w:p>
    <w:p w:rsidR="00EF671B" w:rsidRPr="0021164D" w:rsidRDefault="00EF671B"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Three: </w:t>
      </w:r>
    </w:p>
    <w:p w:rsidR="00D641C5" w:rsidRPr="0021164D" w:rsidRDefault="00D641C5" w:rsidP="00EF671B">
      <w:pPr>
        <w:rPr>
          <w:rFonts w:ascii="Times New Roman" w:hAnsi="Times New Roman" w:cs="Times New Roman"/>
          <w:sz w:val="24"/>
          <w:szCs w:val="24"/>
        </w:rPr>
      </w:pPr>
      <w:r w:rsidRPr="0021164D">
        <w:rPr>
          <w:rFonts w:ascii="Times New Roman" w:hAnsi="Times New Roman" w:cs="Times New Roman"/>
          <w:sz w:val="24"/>
          <w:szCs w:val="24"/>
        </w:rPr>
        <w:t xml:space="preserve">Balfour v. Balfour: </w:t>
      </w:r>
      <w:r w:rsidR="00494D87" w:rsidRPr="0021164D">
        <w:rPr>
          <w:rFonts w:ascii="Times New Roman" w:hAnsi="Times New Roman" w:cs="Times New Roman"/>
          <w:sz w:val="24"/>
          <w:szCs w:val="24"/>
        </w:rPr>
        <w:t xml:space="preserve">A case between Mr. Balfour (D) and Mrs. Balfour (P). The plaintiff remained in England for medical treatment and the defendant agreed to send her a specific amount of </w:t>
      </w:r>
      <w:r w:rsidR="00494D87" w:rsidRPr="0021164D">
        <w:rPr>
          <w:rFonts w:ascii="Times New Roman" w:hAnsi="Times New Roman" w:cs="Times New Roman"/>
          <w:sz w:val="24"/>
          <w:szCs w:val="24"/>
        </w:rPr>
        <w:lastRenderedPageBreak/>
        <w:t xml:space="preserve">money each month until she could join the husband in Sri Lanka. The defendant later asked to remain separated and Mrs. Balfour sued for restitution of her conjugal rights and for alimony equal to the amount her husband had agreed to send. The legal issues pertaining to this case was whether both parties intend that an agreement be legally binding in order to ben an enforceable agreement as well as under what circumstances will a court decline to enforce an agreement between spouses?  The court ruled that </w:t>
      </w:r>
      <w:r w:rsidR="0038095C" w:rsidRPr="0021164D">
        <w:rPr>
          <w:rFonts w:ascii="Times New Roman" w:hAnsi="Times New Roman" w:cs="Times New Roman"/>
          <w:sz w:val="24"/>
          <w:szCs w:val="24"/>
        </w:rPr>
        <w:t>there was no enforceable agreement established between the two spouses</w:t>
      </w:r>
      <w:r w:rsidR="00494D87" w:rsidRPr="0021164D">
        <w:rPr>
          <w:rFonts w:ascii="Times New Roman" w:hAnsi="Times New Roman" w:cs="Times New Roman"/>
          <w:sz w:val="24"/>
          <w:szCs w:val="24"/>
        </w:rPr>
        <w:t xml:space="preserve">. This case is one of the main indicators which lead to the legal shift from marriage as a promise theory of contract to a will theory of contact. </w:t>
      </w:r>
    </w:p>
    <w:p w:rsidR="00D641C5" w:rsidRPr="0021164D" w:rsidRDefault="00D641C5" w:rsidP="00EF671B">
      <w:pPr>
        <w:rPr>
          <w:rFonts w:ascii="Times New Roman" w:hAnsi="Times New Roman" w:cs="Times New Roman"/>
          <w:sz w:val="24"/>
          <w:szCs w:val="24"/>
        </w:rPr>
      </w:pPr>
      <w:r w:rsidRPr="0021164D">
        <w:rPr>
          <w:rFonts w:ascii="Times New Roman" w:hAnsi="Times New Roman" w:cs="Times New Roman"/>
          <w:sz w:val="24"/>
          <w:szCs w:val="24"/>
        </w:rPr>
        <w:t xml:space="preserve">Baby “M” Case: </w:t>
      </w:r>
      <w:r w:rsidR="0038095C" w:rsidRPr="0021164D">
        <w:rPr>
          <w:rFonts w:ascii="Times New Roman" w:hAnsi="Times New Roman" w:cs="Times New Roman"/>
          <w:sz w:val="24"/>
          <w:szCs w:val="24"/>
        </w:rPr>
        <w:t>The Sterns entered into a surrogacy contract with the Whiteheads whereby Mrs. Whitehead would bear the child of Mr. Stern through artificial insemination and relinquish custody of the child to the Sterns upon birth. Once the child was born Mrs. Whitehead found herself unable to part with the child, and sought to retain custody. The legal issue at hand in this case was whether a surrogacy contract is enforceable, and if not, who should gain custody of Baby M? The Court found that the surrogacy contract was unenforceable because it violated state statutes and public policy. Nonetheless, based solely on the best interests of the child custody was granted to the Sterns, with visitation rights to Mrs. Whitehead.</w:t>
      </w:r>
    </w:p>
    <w:p w:rsidR="00D641C5" w:rsidRPr="0021164D" w:rsidRDefault="00D641C5"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four: </w:t>
      </w:r>
    </w:p>
    <w:p w:rsidR="00FF2E8B" w:rsidRPr="0021164D" w:rsidRDefault="00FF2E8B" w:rsidP="00EF671B">
      <w:pPr>
        <w:rPr>
          <w:rFonts w:ascii="Times New Roman" w:hAnsi="Times New Roman" w:cs="Times New Roman"/>
          <w:sz w:val="24"/>
          <w:szCs w:val="24"/>
        </w:rPr>
      </w:pPr>
      <w:r w:rsidRPr="0021164D">
        <w:rPr>
          <w:rFonts w:ascii="Times New Roman" w:hAnsi="Times New Roman" w:cs="Times New Roman"/>
          <w:sz w:val="24"/>
          <w:szCs w:val="24"/>
        </w:rPr>
        <w:t xml:space="preserve">Freedom of contract: parties are free to enter into whatever contract they so wish, without the state intervening in such a relationship. It is a noninterventionist principle which tries to minimize the role of the state, specifically in legal relations </w:t>
      </w:r>
    </w:p>
    <w:p w:rsidR="00FF2E8B" w:rsidRPr="0021164D" w:rsidRDefault="00FF2E8B" w:rsidP="00EF671B">
      <w:pPr>
        <w:rPr>
          <w:rFonts w:ascii="Times New Roman" w:hAnsi="Times New Roman" w:cs="Times New Roman"/>
          <w:sz w:val="24"/>
          <w:szCs w:val="24"/>
        </w:rPr>
      </w:pPr>
      <w:r w:rsidRPr="0021164D">
        <w:rPr>
          <w:rFonts w:ascii="Times New Roman" w:hAnsi="Times New Roman" w:cs="Times New Roman"/>
          <w:sz w:val="24"/>
          <w:szCs w:val="24"/>
        </w:rPr>
        <w:t xml:space="preserve">Judicial intervention in contract:  under the following circumstances parties of a contract are allowed to avoid the legal consequences of contracts that they have signed. </w:t>
      </w:r>
    </w:p>
    <w:p w:rsidR="00FF2E8B" w:rsidRPr="0021164D" w:rsidRDefault="00FF2E8B" w:rsidP="00FF2E8B">
      <w:pPr>
        <w:pStyle w:val="ListParagraph"/>
        <w:numPr>
          <w:ilvl w:val="0"/>
          <w:numId w:val="12"/>
        </w:numPr>
        <w:rPr>
          <w:rFonts w:ascii="Times New Roman" w:hAnsi="Times New Roman" w:cs="Times New Roman"/>
          <w:sz w:val="24"/>
          <w:szCs w:val="24"/>
        </w:rPr>
      </w:pPr>
      <w:r w:rsidRPr="0021164D">
        <w:rPr>
          <w:rFonts w:ascii="Times New Roman" w:hAnsi="Times New Roman" w:cs="Times New Roman"/>
          <w:sz w:val="24"/>
          <w:szCs w:val="24"/>
        </w:rPr>
        <w:t xml:space="preserve">Proof of coercion in making the contract </w:t>
      </w:r>
    </w:p>
    <w:p w:rsidR="00FF2E8B" w:rsidRPr="0021164D" w:rsidRDefault="00FF2E8B" w:rsidP="00FF2E8B">
      <w:pPr>
        <w:pStyle w:val="ListParagraph"/>
        <w:numPr>
          <w:ilvl w:val="0"/>
          <w:numId w:val="12"/>
        </w:numPr>
        <w:rPr>
          <w:rFonts w:ascii="Times New Roman" w:hAnsi="Times New Roman" w:cs="Times New Roman"/>
          <w:sz w:val="24"/>
          <w:szCs w:val="24"/>
        </w:rPr>
      </w:pPr>
      <w:r w:rsidRPr="0021164D">
        <w:rPr>
          <w:rFonts w:ascii="Times New Roman" w:hAnsi="Times New Roman" w:cs="Times New Roman"/>
          <w:sz w:val="24"/>
          <w:szCs w:val="24"/>
        </w:rPr>
        <w:t xml:space="preserve">Proof of misrepresentation by one party at the time of making the contract </w:t>
      </w:r>
    </w:p>
    <w:p w:rsidR="00FF2E8B" w:rsidRPr="0021164D" w:rsidRDefault="00FF2E8B" w:rsidP="00FF2E8B">
      <w:pPr>
        <w:pStyle w:val="ListParagraph"/>
        <w:numPr>
          <w:ilvl w:val="0"/>
          <w:numId w:val="12"/>
        </w:numPr>
        <w:rPr>
          <w:rFonts w:ascii="Times New Roman" w:hAnsi="Times New Roman" w:cs="Times New Roman"/>
          <w:sz w:val="24"/>
          <w:szCs w:val="24"/>
        </w:rPr>
      </w:pPr>
      <w:r w:rsidRPr="0021164D">
        <w:rPr>
          <w:rFonts w:ascii="Times New Roman" w:hAnsi="Times New Roman" w:cs="Times New Roman"/>
          <w:sz w:val="24"/>
          <w:szCs w:val="24"/>
        </w:rPr>
        <w:t xml:space="preserve">Unconscionability of the contract (ex: Lloyds Bank v. Bundy) </w:t>
      </w:r>
    </w:p>
    <w:p w:rsidR="00FF2E8B" w:rsidRPr="0021164D" w:rsidRDefault="00FF2E8B" w:rsidP="00FF2E8B">
      <w:pPr>
        <w:pStyle w:val="ListParagraph"/>
        <w:numPr>
          <w:ilvl w:val="0"/>
          <w:numId w:val="12"/>
        </w:numPr>
        <w:rPr>
          <w:rFonts w:ascii="Times New Roman" w:hAnsi="Times New Roman" w:cs="Times New Roman"/>
          <w:sz w:val="24"/>
          <w:szCs w:val="24"/>
        </w:rPr>
      </w:pPr>
      <w:r w:rsidRPr="0021164D">
        <w:rPr>
          <w:rFonts w:ascii="Times New Roman" w:hAnsi="Times New Roman" w:cs="Times New Roman"/>
          <w:sz w:val="24"/>
          <w:szCs w:val="24"/>
        </w:rPr>
        <w:t>Fraud</w:t>
      </w:r>
    </w:p>
    <w:p w:rsidR="00FF2E8B" w:rsidRPr="0021164D" w:rsidRDefault="00FF2E8B" w:rsidP="00FF2E8B">
      <w:pPr>
        <w:rPr>
          <w:rFonts w:ascii="Times New Roman" w:hAnsi="Times New Roman" w:cs="Times New Roman"/>
          <w:sz w:val="24"/>
          <w:szCs w:val="24"/>
        </w:rPr>
      </w:pPr>
      <w:r w:rsidRPr="0021164D">
        <w:rPr>
          <w:rFonts w:ascii="Times New Roman" w:hAnsi="Times New Roman" w:cs="Times New Roman"/>
          <w:sz w:val="24"/>
          <w:szCs w:val="24"/>
        </w:rPr>
        <w:t xml:space="preserve">Tilden Rent-A-Car Inc v. Clendenning: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-Clendenning wished to rent a car from a company for his travels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-was asked if he wanted add insurance to his rental for extra coverage</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-Clendenning agreed to the extra insurance coverage for a daily fee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-Clendenning got into a collision days after and was charged by the police for impaired driving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-since the coverage did not cover damages caused by impaired driving, the rental company charged him for the damages on the car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-when the case was taken to court for his impaired driving, he was advised by his lawyer to plead guilty to avoid the risk of losing points. Clendenning claimed that he was not impaired though, he just had one beer with his dinner; however due the legal complications of his impaired driving </w:t>
      </w:r>
      <w:r w:rsidRPr="0021164D">
        <w:rPr>
          <w:rFonts w:ascii="Times New Roman" w:hAnsi="Times New Roman" w:cs="Times New Roman"/>
          <w:sz w:val="24"/>
          <w:szCs w:val="24"/>
        </w:rPr>
        <w:lastRenderedPageBreak/>
        <w:t xml:space="preserve">case, he had to plead guilty. As such, he believed that he should be covered by the damages inflicted to the car due to the extra coverage he paid for while renting the car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-in </w:t>
      </w:r>
      <w:proofErr w:type="spellStart"/>
      <w:r w:rsidRPr="0021164D">
        <w:rPr>
          <w:rFonts w:ascii="Times New Roman" w:hAnsi="Times New Roman" w:cs="Times New Roman"/>
          <w:sz w:val="24"/>
          <w:szCs w:val="24"/>
        </w:rPr>
        <w:t>Clendening's</w:t>
      </w:r>
      <w:proofErr w:type="spellEnd"/>
      <w:r w:rsidRPr="0021164D">
        <w:rPr>
          <w:rFonts w:ascii="Times New Roman" w:hAnsi="Times New Roman" w:cs="Times New Roman"/>
          <w:sz w:val="24"/>
          <w:szCs w:val="24"/>
        </w:rPr>
        <w:t xml:space="preserve"> defence he claimed he got into a collision with the poll in order to avoid a far greater collision with another vehicle who veered onto </w:t>
      </w:r>
      <w:proofErr w:type="spellStart"/>
      <w:r w:rsidRPr="0021164D">
        <w:rPr>
          <w:rFonts w:ascii="Times New Roman" w:hAnsi="Times New Roman" w:cs="Times New Roman"/>
          <w:sz w:val="24"/>
          <w:szCs w:val="24"/>
        </w:rPr>
        <w:t>Clendening's</w:t>
      </w:r>
      <w:proofErr w:type="spellEnd"/>
      <w:r w:rsidRPr="0021164D">
        <w:rPr>
          <w:rFonts w:ascii="Times New Roman" w:hAnsi="Times New Roman" w:cs="Times New Roman"/>
          <w:sz w:val="24"/>
          <w:szCs w:val="24"/>
        </w:rPr>
        <w:t xml:space="preserve"> side of the road; thus trying to further assert that he was not really impaired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w:t>
      </w:r>
      <w:proofErr w:type="spellStart"/>
      <w:r w:rsidRPr="0021164D">
        <w:rPr>
          <w:rFonts w:ascii="Times New Roman" w:hAnsi="Times New Roman" w:cs="Times New Roman"/>
          <w:sz w:val="24"/>
          <w:szCs w:val="24"/>
        </w:rPr>
        <w:t>Clendening</w:t>
      </w:r>
      <w:proofErr w:type="spellEnd"/>
      <w:r w:rsidRPr="0021164D">
        <w:rPr>
          <w:rFonts w:ascii="Times New Roman" w:hAnsi="Times New Roman" w:cs="Times New Roman"/>
          <w:sz w:val="24"/>
          <w:szCs w:val="24"/>
        </w:rPr>
        <w:t xml:space="preserve"> argued that the clause on the contract was not legible and noticeable on the contract and thus demanded coverage for his collision </w:t>
      </w:r>
    </w:p>
    <w:p w:rsidR="0063392F" w:rsidRPr="0021164D" w:rsidRDefault="0063392F" w:rsidP="0063392F">
      <w:pPr>
        <w:spacing w:after="0"/>
        <w:rPr>
          <w:rFonts w:ascii="Times New Roman" w:hAnsi="Times New Roman" w:cs="Times New Roman"/>
          <w:sz w:val="24"/>
          <w:szCs w:val="24"/>
        </w:rPr>
      </w:pPr>
      <w:r w:rsidRPr="0021164D">
        <w:rPr>
          <w:rFonts w:ascii="Times New Roman" w:hAnsi="Times New Roman" w:cs="Times New Roman"/>
          <w:sz w:val="24"/>
          <w:szCs w:val="24"/>
        </w:rPr>
        <w:t xml:space="preserve">-the court ultimately ruled in favour of </w:t>
      </w:r>
      <w:proofErr w:type="spellStart"/>
      <w:r w:rsidRPr="0021164D">
        <w:rPr>
          <w:rFonts w:ascii="Times New Roman" w:hAnsi="Times New Roman" w:cs="Times New Roman"/>
          <w:sz w:val="24"/>
          <w:szCs w:val="24"/>
        </w:rPr>
        <w:t>Clendening</w:t>
      </w:r>
      <w:proofErr w:type="spellEnd"/>
      <w:r w:rsidRPr="0021164D">
        <w:rPr>
          <w:rFonts w:ascii="Times New Roman" w:hAnsi="Times New Roman" w:cs="Times New Roman"/>
          <w:sz w:val="24"/>
          <w:szCs w:val="24"/>
        </w:rPr>
        <w:t xml:space="preserve"> for they believed the contract was unfair due to its small print. The company was also forced to rewrite their contract to make such clauses more noticeable</w:t>
      </w:r>
    </w:p>
    <w:p w:rsidR="0063392F" w:rsidRPr="0021164D" w:rsidRDefault="0063392F" w:rsidP="0063392F">
      <w:pPr>
        <w:rPr>
          <w:rFonts w:ascii="Times New Roman" w:hAnsi="Times New Roman" w:cs="Times New Roman"/>
          <w:sz w:val="24"/>
          <w:szCs w:val="24"/>
        </w:rPr>
      </w:pPr>
    </w:p>
    <w:p w:rsidR="0063392F" w:rsidRPr="0021164D" w:rsidRDefault="0063392F" w:rsidP="0063392F">
      <w:pPr>
        <w:rPr>
          <w:rFonts w:ascii="Times New Roman" w:hAnsi="Times New Roman" w:cs="Times New Roman"/>
          <w:sz w:val="24"/>
          <w:szCs w:val="24"/>
        </w:rPr>
      </w:pPr>
      <w:r w:rsidRPr="0021164D">
        <w:rPr>
          <w:rFonts w:ascii="Times New Roman" w:hAnsi="Times New Roman" w:cs="Times New Roman"/>
          <w:sz w:val="24"/>
          <w:szCs w:val="24"/>
        </w:rPr>
        <w:t xml:space="preserve">Lloyds Bank v. Bundy: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-Mr. Bundy and young Mr. Bundy were clients with one of the major banks within their country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-young Mr. Bundy's business was not doing too well, so the bank informed him that if his business did not improve, they would cut off his business line of credit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-young Bundy pleaded with the bank to not cut his line of credit. In order to give the bank manager more security on their investment, they needed more financial security from young Bundy (</w:t>
      </w:r>
      <w:proofErr w:type="spellStart"/>
      <w:r w:rsidRPr="0021164D">
        <w:rPr>
          <w:rFonts w:ascii="Times New Roman" w:hAnsi="Times New Roman" w:cs="Times New Roman"/>
          <w:sz w:val="24"/>
          <w:szCs w:val="24"/>
        </w:rPr>
        <w:t>ie</w:t>
      </w:r>
      <w:proofErr w:type="spellEnd"/>
      <w:r w:rsidRPr="0021164D">
        <w:rPr>
          <w:rFonts w:ascii="Times New Roman" w:hAnsi="Times New Roman" w:cs="Times New Roman"/>
          <w:sz w:val="24"/>
          <w:szCs w:val="24"/>
        </w:rPr>
        <w:t xml:space="preserve">: mortgaging his property to the bank)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-young Bundy asked his father, who also was with the same bank and bank manager, asked his father if he would mortgage his property in order to guarantee that the bank would keep his business' line of credit open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Bundy families lawyer advised the family that if they were to follow through with the deal, do not lease the entire value of the property, at least leave half of the value as a safety net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Bundy family agreed with this proposal and brought the offer to the bank manager, they agreed and the sons line of credit was extended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-time comes to pass, the old bank manager retired and a new one stepped into place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new bank manager looked at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Bundy's loan portfolio and is skeptical of the conditions of the loan. As such, the bank manager goes to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 and informed him that they will be withdrawing the line of credit due to poor reciprocal business practices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-similar to the last time, the bank manager was asking for more security for their loan to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 Young Bundy went to his father and asked his father to lease off the remaining value of his property to provide a guarantee for the bank to continue the business' line of credit. The father agreed and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 proposed the offer to the bank manager</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bank manager agreed to this offer and extended the loan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-after a while, the bank called on the loan and young Bundy could not afford the loan. As a result,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Bundy's business went under and the bank foreclosed young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 fathers house to pay for the loan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-old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Bundy refused to give up his house to the bank so the case was brought to court </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Bundy's claim there was unequal bargaining power involved in the second part of the loan agreement that had taken place with the new bank manager. Said that the new bank manager claimed that the loan was called in too soon and that not enough time was given to the consideration of the offer like the last offer which the previous bank manager left the contract with the Bundy family for a night to consider the deal with a lawyer</w:t>
      </w:r>
    </w:p>
    <w:p w:rsidR="00195E82" w:rsidRPr="0021164D" w:rsidRDefault="00195E82" w:rsidP="00195E82">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lastRenderedPageBreak/>
        <w:t xml:space="preserve">-the court sided with the Bundy' and believed that there was unequal bargaining power involved in the deal. The ruling stated that the bank manager was being too pushy and thus not enough consideration was given by the Bundy's </w:t>
      </w:r>
    </w:p>
    <w:p w:rsidR="00195E82" w:rsidRPr="0021164D" w:rsidRDefault="00195E82" w:rsidP="00195E82">
      <w:pPr>
        <w:spacing w:after="0" w:line="240" w:lineRule="auto"/>
        <w:rPr>
          <w:rFonts w:ascii="Times New Roman" w:hAnsi="Times New Roman" w:cs="Times New Roman"/>
          <w:sz w:val="24"/>
          <w:szCs w:val="24"/>
        </w:rPr>
      </w:pPr>
    </w:p>
    <w:p w:rsidR="0063392F" w:rsidRPr="0021164D" w:rsidRDefault="0063392F" w:rsidP="0063392F">
      <w:pPr>
        <w:rPr>
          <w:rFonts w:ascii="Times New Roman" w:hAnsi="Times New Roman" w:cs="Times New Roman"/>
          <w:sz w:val="24"/>
          <w:szCs w:val="24"/>
        </w:rPr>
      </w:pPr>
      <w:proofErr w:type="spellStart"/>
      <w:r w:rsidRPr="0021164D">
        <w:rPr>
          <w:rFonts w:ascii="Times New Roman" w:hAnsi="Times New Roman" w:cs="Times New Roman"/>
          <w:sz w:val="24"/>
          <w:szCs w:val="24"/>
        </w:rPr>
        <w:t>Sevidal</w:t>
      </w:r>
      <w:proofErr w:type="spellEnd"/>
      <w:r w:rsidRPr="0021164D">
        <w:rPr>
          <w:rFonts w:ascii="Times New Roman" w:hAnsi="Times New Roman" w:cs="Times New Roman"/>
          <w:sz w:val="24"/>
          <w:szCs w:val="24"/>
        </w:rPr>
        <w:t xml:space="preserve"> v. Chopra: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-was a case which dealt with the sale of a home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-property was believed to have radiation which was not picked up by the inspection team and the seller</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-since the defect was classified as a latent defect, such information should have been disclosed to the buyer of the property for it wold have sufficiently effected the buyers choice in purchasing the property </w:t>
      </w:r>
    </w:p>
    <w:p w:rsidR="0063392F" w:rsidRPr="0021164D" w:rsidRDefault="0063392F"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-court agreed that the responsibility on the seller to disclose the information was necessary and such information was significant to the buyer in their choice to purchase the property</w:t>
      </w:r>
    </w:p>
    <w:p w:rsidR="00195E82" w:rsidRPr="0021164D" w:rsidRDefault="00195E82" w:rsidP="0063392F">
      <w:pPr>
        <w:spacing w:after="0" w:line="240" w:lineRule="auto"/>
        <w:rPr>
          <w:rFonts w:ascii="Times New Roman" w:hAnsi="Times New Roman" w:cs="Times New Roman"/>
          <w:sz w:val="24"/>
          <w:szCs w:val="24"/>
        </w:rPr>
      </w:pPr>
    </w:p>
    <w:p w:rsidR="00195E82" w:rsidRPr="0021164D" w:rsidRDefault="00195E82"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Pelech v. Pelech:</w:t>
      </w:r>
    </w:p>
    <w:p w:rsidR="000C684A" w:rsidRPr="0021164D" w:rsidRDefault="000C684A" w:rsidP="0063392F">
      <w:pPr>
        <w:spacing w:after="0" w:line="240" w:lineRule="auto"/>
        <w:rPr>
          <w:rFonts w:ascii="Times New Roman" w:hAnsi="Times New Roman" w:cs="Times New Roman"/>
          <w:sz w:val="24"/>
          <w:szCs w:val="24"/>
        </w:rPr>
      </w:pP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-case concerning a separation and divorce agreement (financial support for the children, value of the property, assets, etc)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-wife worked as a receptionist and bookkeeper for the Pelech's business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-since the business' profits went directly to the family account, Mrs. Pelech did not see the need to have a substantial salary since business revenue went directly to the family as a whole anyways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w:t>
      </w:r>
      <w:proofErr w:type="spellStart"/>
      <w:r w:rsidRPr="0021164D">
        <w:rPr>
          <w:rFonts w:ascii="Times New Roman" w:hAnsi="Times New Roman" w:cs="Times New Roman"/>
          <w:sz w:val="24"/>
          <w:szCs w:val="24"/>
        </w:rPr>
        <w:t>mrs</w:t>
      </w:r>
      <w:proofErr w:type="spellEnd"/>
      <w:r w:rsidRPr="0021164D">
        <w:rPr>
          <w:rFonts w:ascii="Times New Roman" w:hAnsi="Times New Roman" w:cs="Times New Roman"/>
          <w:sz w:val="24"/>
          <w:szCs w:val="24"/>
        </w:rPr>
        <w:t xml:space="preserve"> </w:t>
      </w:r>
      <w:proofErr w:type="spellStart"/>
      <w:r w:rsidRPr="0021164D">
        <w:rPr>
          <w:rFonts w:ascii="Times New Roman" w:hAnsi="Times New Roman" w:cs="Times New Roman"/>
          <w:sz w:val="24"/>
          <w:szCs w:val="24"/>
        </w:rPr>
        <w:t>Pelech</w:t>
      </w:r>
      <w:proofErr w:type="spellEnd"/>
      <w:r w:rsidRPr="0021164D">
        <w:rPr>
          <w:rFonts w:ascii="Times New Roman" w:hAnsi="Times New Roman" w:cs="Times New Roman"/>
          <w:sz w:val="24"/>
          <w:szCs w:val="24"/>
        </w:rPr>
        <w:t xml:space="preserve"> was not a partner in the business, as such, a not entitled to any of the asses of the business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-in May, the couple ended up filing for a divorce and a court hearing was held to determine the divide of the couples assets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-custody of the children was given to </w:t>
      </w:r>
      <w:proofErr w:type="spellStart"/>
      <w:r w:rsidRPr="0021164D">
        <w:rPr>
          <w:rFonts w:ascii="Times New Roman" w:hAnsi="Times New Roman" w:cs="Times New Roman"/>
          <w:sz w:val="24"/>
          <w:szCs w:val="24"/>
        </w:rPr>
        <w:t>mr</w:t>
      </w:r>
      <w:proofErr w:type="spellEnd"/>
      <w:r w:rsidRPr="0021164D">
        <w:rPr>
          <w:rFonts w:ascii="Times New Roman" w:hAnsi="Times New Roman" w:cs="Times New Roman"/>
          <w:sz w:val="24"/>
          <w:szCs w:val="24"/>
        </w:rPr>
        <w:t xml:space="preserve"> </w:t>
      </w:r>
      <w:proofErr w:type="spellStart"/>
      <w:r w:rsidRPr="0021164D">
        <w:rPr>
          <w:rFonts w:ascii="Times New Roman" w:hAnsi="Times New Roman" w:cs="Times New Roman"/>
          <w:sz w:val="24"/>
          <w:szCs w:val="24"/>
        </w:rPr>
        <w:t>Pelech</w:t>
      </w:r>
      <w:proofErr w:type="spellEnd"/>
      <w:r w:rsidRPr="0021164D">
        <w:rPr>
          <w:rFonts w:ascii="Times New Roman" w:hAnsi="Times New Roman" w:cs="Times New Roman"/>
          <w:sz w:val="24"/>
          <w:szCs w:val="24"/>
        </w:rPr>
        <w:t xml:space="preserve"> for the wife was seen as mentally unstable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assets for the property they shared were divided and maintenance funds were given to </w:t>
      </w:r>
      <w:proofErr w:type="spellStart"/>
      <w:r w:rsidRPr="0021164D">
        <w:rPr>
          <w:rFonts w:ascii="Times New Roman" w:hAnsi="Times New Roman" w:cs="Times New Roman"/>
          <w:sz w:val="24"/>
          <w:szCs w:val="24"/>
        </w:rPr>
        <w:t>ms.</w:t>
      </w:r>
      <w:proofErr w:type="spellEnd"/>
      <w:r w:rsidRPr="0021164D">
        <w:rPr>
          <w:rFonts w:ascii="Times New Roman" w:hAnsi="Times New Roman" w:cs="Times New Roman"/>
          <w:sz w:val="24"/>
          <w:szCs w:val="24"/>
        </w:rPr>
        <w:t xml:space="preserve"> Pelech</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-later down the road, Mr. Pelech's business was doing exceptionally well and his net value went up exceptionally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-Ms. Pelech's physical and mental state was deteriorating over the years and had to use up all of her maintenance funds allotted to her, and even some of her personal funds to get by</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-being financially desperate, she attempted to reopen the case previously between the two formal couples to obtain more maintenance fees for she needed more to survive </w:t>
      </w:r>
    </w:p>
    <w:p w:rsidR="000C684A" w:rsidRPr="0021164D" w:rsidRDefault="000C684A" w:rsidP="000C684A">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-part of her reasoning for this was hat due to her current state and age, her prospects for employment was unlikely. As such, she needed more maintenance funds allotted to her out of necessity of need </w:t>
      </w:r>
    </w:p>
    <w:p w:rsidR="000C684A" w:rsidRPr="0021164D" w:rsidRDefault="000C684A"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-court had eventually ruled that need was not sufficient to reopen the contract and that Mr. Pelech could not be held financially liable for how his former wife developed after the divorce </w:t>
      </w:r>
    </w:p>
    <w:p w:rsidR="000C684A" w:rsidRPr="0021164D" w:rsidRDefault="000C684A" w:rsidP="0063392F">
      <w:pPr>
        <w:spacing w:after="0" w:line="240" w:lineRule="auto"/>
        <w:rPr>
          <w:rFonts w:ascii="Times New Roman" w:hAnsi="Times New Roman" w:cs="Times New Roman"/>
          <w:sz w:val="24"/>
          <w:szCs w:val="24"/>
        </w:rPr>
      </w:pPr>
    </w:p>
    <w:p w:rsidR="000C684A" w:rsidRPr="0021164D" w:rsidRDefault="000C684A" w:rsidP="0063392F">
      <w:pPr>
        <w:spacing w:after="0" w:line="240" w:lineRule="auto"/>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five: </w:t>
      </w:r>
    </w:p>
    <w:p w:rsidR="000C684A" w:rsidRPr="0021164D" w:rsidRDefault="000C684A" w:rsidP="0063392F">
      <w:pPr>
        <w:spacing w:after="0" w:line="240" w:lineRule="auto"/>
        <w:rPr>
          <w:rFonts w:ascii="Times New Roman" w:hAnsi="Times New Roman" w:cs="Times New Roman"/>
          <w:sz w:val="24"/>
          <w:szCs w:val="24"/>
          <w:u w:val="single"/>
        </w:rPr>
      </w:pPr>
    </w:p>
    <w:p w:rsidR="00021691" w:rsidRPr="0021164D" w:rsidRDefault="00021691" w:rsidP="0063392F">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Remedies for breach of contract: there are five main remedies awarded by the court for a breach of contract. They are as follows: </w:t>
      </w:r>
    </w:p>
    <w:p w:rsidR="00021691" w:rsidRPr="0021164D" w:rsidRDefault="00021691" w:rsidP="00021691">
      <w:pPr>
        <w:pStyle w:val="ListParagraph"/>
        <w:numPr>
          <w:ilvl w:val="0"/>
          <w:numId w:val="13"/>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lastRenderedPageBreak/>
        <w:t xml:space="preserve">Award of damages: is a remedy of financial compensation for a party not performing their end of the contract plus any losses incurred from not complying with the contract </w:t>
      </w:r>
    </w:p>
    <w:p w:rsidR="00021691" w:rsidRPr="0021164D" w:rsidRDefault="00021691" w:rsidP="00021691">
      <w:pPr>
        <w:pStyle w:val="ListParagraph"/>
        <w:numPr>
          <w:ilvl w:val="0"/>
          <w:numId w:val="13"/>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Remedy of specific order for performance: a remedy given by the courts which forces the party responsible for the completion of the service to fulfill their obligations of the contract to the other party </w:t>
      </w:r>
    </w:p>
    <w:p w:rsidR="00021691" w:rsidRPr="0021164D" w:rsidRDefault="00021691" w:rsidP="00021691">
      <w:pPr>
        <w:pStyle w:val="ListParagraph"/>
        <w:numPr>
          <w:ilvl w:val="0"/>
          <w:numId w:val="13"/>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Remedy of rescission: </w:t>
      </w:r>
      <w:r w:rsidR="00EF6BDE" w:rsidRPr="0021164D">
        <w:rPr>
          <w:rFonts w:ascii="Times New Roman" w:hAnsi="Times New Roman" w:cs="Times New Roman"/>
          <w:sz w:val="24"/>
          <w:szCs w:val="24"/>
        </w:rPr>
        <w:t xml:space="preserve">a legal order rescinding the contract, meaning that the contract is no longer enforceable and thus not valid. It is a remedy which is used to get a party out of a contract rather than provide any sort of other means of compensation </w:t>
      </w:r>
    </w:p>
    <w:p w:rsidR="00EF6BDE" w:rsidRPr="0021164D" w:rsidRDefault="00EF6BDE" w:rsidP="00021691">
      <w:pPr>
        <w:pStyle w:val="ListParagraph"/>
        <w:numPr>
          <w:ilvl w:val="0"/>
          <w:numId w:val="13"/>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Remedy of restitution: a remedy which brings the party back to a stage in the contract in which an agreement is still being deliberated on. It is a remedy in which payment in advance is repaid back to the party who hired the other party to fulfill an agreed upon service </w:t>
      </w:r>
    </w:p>
    <w:p w:rsidR="00EF6BDE" w:rsidRPr="0021164D" w:rsidRDefault="00EF6BDE" w:rsidP="00021691">
      <w:pPr>
        <w:pStyle w:val="ListParagraph"/>
        <w:numPr>
          <w:ilvl w:val="0"/>
          <w:numId w:val="13"/>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Remedy of injunction: a remedy of injunction is a remedy in which a court order is issued which requires a party to do or refrain from doing specific acts</w:t>
      </w:r>
    </w:p>
    <w:p w:rsidR="00EF6BDE" w:rsidRPr="0021164D" w:rsidRDefault="00EF6BDE" w:rsidP="00EF6BDE">
      <w:pPr>
        <w:spacing w:after="0" w:line="240" w:lineRule="auto"/>
        <w:rPr>
          <w:rFonts w:ascii="Times New Roman" w:hAnsi="Times New Roman" w:cs="Times New Roman"/>
          <w:sz w:val="24"/>
          <w:szCs w:val="24"/>
        </w:rPr>
      </w:pP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Hadley v. Baxendale: </w:t>
      </w:r>
    </w:p>
    <w:p w:rsidR="00EF6BDE" w:rsidRPr="0021164D" w:rsidRDefault="00EF6BDE" w:rsidP="00EF6BDE">
      <w:pPr>
        <w:spacing w:after="0" w:line="240" w:lineRule="auto"/>
        <w:rPr>
          <w:rFonts w:ascii="Times New Roman" w:hAnsi="Times New Roman" w:cs="Times New Roman"/>
          <w:sz w:val="24"/>
          <w:szCs w:val="24"/>
        </w:rPr>
      </w:pP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-legal issue: Are Defendants liable to Plaintiffs for damages suffered by Plaintiffs due to lost profits?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-Plaintiffs operated a mill, and a component of their steam engine broke causing them to shut down the mill. Plaintiffs then contracted with Defendants, common carriers, to take the component to W. Joyce &amp; Co. to have a new part created. When delivery was delayed due to Defendants’ neglect, causing Plaintiffs’ mill to remain closed longer than expected, Plaintiffs sued to recover damages</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damages to which a non-breaching party is entitled are those arising naturally from the breach itself or those that are in the reasonable contemplation of the parties at the time of contracting.</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legal decision of the court was that damages are limited to those that arise naturally from a breach and those that are reasonably contemplated by the parties at the time of contracting</w:t>
      </w:r>
    </w:p>
    <w:p w:rsidR="00EF6BDE" w:rsidRPr="0021164D" w:rsidRDefault="00EF6BDE" w:rsidP="00EF6BDE">
      <w:pPr>
        <w:spacing w:after="0" w:line="240" w:lineRule="auto"/>
        <w:rPr>
          <w:rFonts w:ascii="Times New Roman" w:hAnsi="Times New Roman" w:cs="Times New Roman"/>
          <w:sz w:val="24"/>
          <w:szCs w:val="24"/>
        </w:rPr>
      </w:pP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Peevyhouse v. </w:t>
      </w:r>
      <w:proofErr w:type="spellStart"/>
      <w:r w:rsidRPr="0021164D">
        <w:rPr>
          <w:rFonts w:ascii="Times New Roman" w:hAnsi="Times New Roman" w:cs="Times New Roman"/>
          <w:sz w:val="24"/>
          <w:szCs w:val="24"/>
        </w:rPr>
        <w:t>Carland</w:t>
      </w:r>
      <w:proofErr w:type="spellEnd"/>
      <w:r w:rsidRPr="0021164D">
        <w:rPr>
          <w:rFonts w:ascii="Times New Roman" w:hAnsi="Times New Roman" w:cs="Times New Roman"/>
          <w:sz w:val="24"/>
          <w:szCs w:val="24"/>
        </w:rPr>
        <w:t xml:space="preserve"> Coal Co.: </w:t>
      </w:r>
    </w:p>
    <w:p w:rsidR="00EF6BDE" w:rsidRPr="0021164D" w:rsidRDefault="00EF6BDE" w:rsidP="00EF6BDE">
      <w:pPr>
        <w:spacing w:after="0" w:line="240" w:lineRule="auto"/>
        <w:rPr>
          <w:rFonts w:ascii="Times New Roman" w:hAnsi="Times New Roman" w:cs="Times New Roman"/>
          <w:sz w:val="24"/>
          <w:szCs w:val="24"/>
        </w:rPr>
      </w:pP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-legal issue: Is Defendant liable for the costs of the remedial work?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-Plaintiffs leased their farmland to Defendant for strip mining on the condition that Defendant fill in the holes Defendant made after the completion of the mining. Defendant did not fill in the holes and thus the plaintiff is suing the defendant for the damages caused by this breach of contract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jury awards $500 of damages; both sides appealed the decision for they were both not satisfied with the cost of damages </w:t>
      </w:r>
      <w:proofErr w:type="spellStart"/>
      <w:r w:rsidRPr="0021164D">
        <w:rPr>
          <w:rFonts w:ascii="Times New Roman" w:hAnsi="Times New Roman" w:cs="Times New Roman"/>
          <w:sz w:val="24"/>
          <w:szCs w:val="24"/>
        </w:rPr>
        <w:t>payed</w:t>
      </w:r>
      <w:proofErr w:type="spellEnd"/>
      <w:r w:rsidRPr="0021164D">
        <w:rPr>
          <w:rFonts w:ascii="Times New Roman" w:hAnsi="Times New Roman" w:cs="Times New Roman"/>
          <w:sz w:val="24"/>
          <w:szCs w:val="24"/>
        </w:rPr>
        <w:t xml:space="preserve"> out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w:t>
      </w:r>
      <w:proofErr w:type="spellStart"/>
      <w:r w:rsidRPr="0021164D">
        <w:rPr>
          <w:rFonts w:ascii="Times New Roman" w:hAnsi="Times New Roman" w:cs="Times New Roman"/>
          <w:sz w:val="24"/>
          <w:szCs w:val="24"/>
        </w:rPr>
        <w:t>Carland</w:t>
      </w:r>
      <w:proofErr w:type="spellEnd"/>
      <w:r w:rsidRPr="0021164D">
        <w:rPr>
          <w:rFonts w:ascii="Times New Roman" w:hAnsi="Times New Roman" w:cs="Times New Roman"/>
          <w:sz w:val="24"/>
          <w:szCs w:val="24"/>
        </w:rPr>
        <w:t xml:space="preserve"> coal thought that this was too much to pay out to the land loaner, whilst Peevyhouse thought that this remedy of $500 did not come even close to amending </w:t>
      </w:r>
      <w:proofErr w:type="spellStart"/>
      <w:r w:rsidRPr="0021164D">
        <w:rPr>
          <w:rFonts w:ascii="Times New Roman" w:hAnsi="Times New Roman" w:cs="Times New Roman"/>
          <w:sz w:val="24"/>
          <w:szCs w:val="24"/>
        </w:rPr>
        <w:t>te</w:t>
      </w:r>
      <w:proofErr w:type="spellEnd"/>
      <w:r w:rsidRPr="0021164D">
        <w:rPr>
          <w:rFonts w:ascii="Times New Roman" w:hAnsi="Times New Roman" w:cs="Times New Roman"/>
          <w:sz w:val="24"/>
          <w:szCs w:val="24"/>
        </w:rPr>
        <w:t xml:space="preserve"> damages caused to them due to the breach of contract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-Case law, statute and Restatement of Contracts limit damages to those that do not cause economic waste or to those damages where the costs involved are not disproportional to the end obtained. Plaintiffs may not gain more in damages for a breach of contract that actual </w:t>
      </w:r>
      <w:r w:rsidRPr="0021164D">
        <w:rPr>
          <w:rFonts w:ascii="Times New Roman" w:hAnsi="Times New Roman" w:cs="Times New Roman"/>
          <w:sz w:val="24"/>
          <w:szCs w:val="24"/>
        </w:rPr>
        <w:lastRenderedPageBreak/>
        <w:t xml:space="preserve">performance is worth. It is unlikely that a reasonable landowner would spend $29,000.00 to increase the value of a piece of land by $300.00 </w:t>
      </w:r>
    </w:p>
    <w:p w:rsidR="00EF6BDE" w:rsidRPr="0021164D" w:rsidRDefault="00EF6BDE"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-comes down to the argument of punitive damage </w:t>
      </w:r>
      <w:proofErr w:type="spellStart"/>
      <w:r w:rsidRPr="0021164D">
        <w:rPr>
          <w:rFonts w:ascii="Times New Roman" w:hAnsi="Times New Roman" w:cs="Times New Roman"/>
          <w:sz w:val="24"/>
          <w:szCs w:val="24"/>
        </w:rPr>
        <w:t>vs</w:t>
      </w:r>
      <w:proofErr w:type="spellEnd"/>
      <w:r w:rsidRPr="0021164D">
        <w:rPr>
          <w:rFonts w:ascii="Times New Roman" w:hAnsi="Times New Roman" w:cs="Times New Roman"/>
          <w:sz w:val="24"/>
          <w:szCs w:val="24"/>
        </w:rPr>
        <w:t xml:space="preserve"> efficient breach of contract</w:t>
      </w:r>
    </w:p>
    <w:p w:rsidR="00EF6BDE" w:rsidRPr="0021164D" w:rsidRDefault="00EF6BDE" w:rsidP="00EF6BDE">
      <w:pPr>
        <w:spacing w:after="0" w:line="240" w:lineRule="auto"/>
        <w:rPr>
          <w:rFonts w:ascii="Times New Roman" w:hAnsi="Times New Roman" w:cs="Times New Roman"/>
          <w:sz w:val="24"/>
          <w:szCs w:val="24"/>
        </w:rPr>
      </w:pPr>
    </w:p>
    <w:p w:rsidR="00EF6BDE" w:rsidRPr="0021164D" w:rsidRDefault="00EF6BDE" w:rsidP="00EF6BDE">
      <w:pPr>
        <w:spacing w:after="0" w:line="240" w:lineRule="auto"/>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six: </w:t>
      </w:r>
    </w:p>
    <w:p w:rsidR="00EF6BDE" w:rsidRPr="0021164D" w:rsidRDefault="00EF6BDE" w:rsidP="00EF6BDE">
      <w:pPr>
        <w:spacing w:after="0" w:line="240" w:lineRule="auto"/>
        <w:rPr>
          <w:rFonts w:ascii="Times New Roman" w:hAnsi="Times New Roman" w:cs="Times New Roman"/>
          <w:sz w:val="24"/>
          <w:szCs w:val="24"/>
          <w:u w:val="single"/>
        </w:rPr>
      </w:pPr>
    </w:p>
    <w:p w:rsidR="00EF6BDE" w:rsidRPr="0021164D" w:rsidRDefault="00854F83" w:rsidP="00EF6BDE">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Torts:  obligations which are imposed by law independently of agreement. In contrast, a contract is imposed by individual agreement. An example of a tort obligation is that it is generally accepted that one cannot trespass on one’s private property.  Torts refer to a legal wrong being committed. These torts are then brought to the courts to be enforced. Donoghue v. Stevenson was one of the few landmark cases surrounding torts. </w:t>
      </w:r>
    </w:p>
    <w:p w:rsidR="00854F83" w:rsidRPr="0021164D" w:rsidRDefault="00854F83" w:rsidP="00EF6BDE">
      <w:pPr>
        <w:spacing w:after="0" w:line="240" w:lineRule="auto"/>
        <w:rPr>
          <w:rFonts w:ascii="Times New Roman" w:hAnsi="Times New Roman" w:cs="Times New Roman"/>
          <w:sz w:val="24"/>
          <w:szCs w:val="24"/>
        </w:rPr>
      </w:pPr>
    </w:p>
    <w:p w:rsidR="00854F83" w:rsidRPr="00E35EAD" w:rsidRDefault="00854F83" w:rsidP="00EF6BDE">
      <w:pPr>
        <w:spacing w:after="0" w:line="240" w:lineRule="auto"/>
        <w:rPr>
          <w:rFonts w:ascii="Times New Roman" w:hAnsi="Times New Roman" w:cs="Times New Roman"/>
          <w:sz w:val="24"/>
          <w:szCs w:val="24"/>
          <w:lang w:val="fr-CA"/>
        </w:rPr>
      </w:pPr>
      <w:r w:rsidRPr="00E35EAD">
        <w:rPr>
          <w:rFonts w:ascii="Times New Roman" w:hAnsi="Times New Roman" w:cs="Times New Roman"/>
          <w:sz w:val="24"/>
          <w:szCs w:val="24"/>
          <w:lang w:val="fr-CA"/>
        </w:rPr>
        <w:t xml:space="preserve">Pittman </w:t>
      </w:r>
      <w:proofErr w:type="spellStart"/>
      <w:r w:rsidRPr="00E35EAD">
        <w:rPr>
          <w:rFonts w:ascii="Times New Roman" w:hAnsi="Times New Roman" w:cs="Times New Roman"/>
          <w:sz w:val="24"/>
          <w:szCs w:val="24"/>
          <w:lang w:val="fr-CA"/>
        </w:rPr>
        <w:t>Estates</w:t>
      </w:r>
      <w:proofErr w:type="spellEnd"/>
      <w:r w:rsidRPr="00E35EAD">
        <w:rPr>
          <w:rFonts w:ascii="Times New Roman" w:hAnsi="Times New Roman" w:cs="Times New Roman"/>
          <w:sz w:val="24"/>
          <w:szCs w:val="24"/>
          <w:lang w:val="fr-CA"/>
        </w:rPr>
        <w:t xml:space="preserve"> v. Bain et al: </w:t>
      </w:r>
    </w:p>
    <w:p w:rsidR="00854F83" w:rsidRPr="00E35EAD" w:rsidRDefault="00854F83" w:rsidP="00EF6BDE">
      <w:pPr>
        <w:spacing w:after="0" w:line="240" w:lineRule="auto"/>
        <w:rPr>
          <w:rFonts w:ascii="Times New Roman" w:hAnsi="Times New Roman" w:cs="Times New Roman"/>
          <w:sz w:val="24"/>
          <w:szCs w:val="24"/>
          <w:lang w:val="fr-CA"/>
        </w:rPr>
      </w:pP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 sometime during 1984, Mr. Pittman had undergone blood transfusions in a Toronto hospital </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individual whose blood was donated to Mr. Pittman was HIV positive. This became known after the transfusion process involving Mr. Pittman </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Red Cross traced the source of this blood donation and informed both the blood donor and the hospital in which this process took place that the donor has HIV and the donated tainted blood</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hospital then informs Mr. Pittman’s personal physician, Dr. Bain that his client had been transfused with tainted blood</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●the physician did not inform Mr. Pittman of this information when he received it around 1989 and a year after, Mr. Pittman had died due to pneumonia complications which may or may not have been a result of the HIV virus he was infused with </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●shortly after, Mr. Pittman’s wife is tested HIV positive in 1990. finding this out, she goes to sue the physician, the blood donation institution, and the hospital on behalf of the late Mr. Pittman (because his state is still in existence) and herself </w:t>
      </w:r>
    </w:p>
    <w:p w:rsidR="00854F83" w:rsidRPr="0021164D" w:rsidRDefault="00854F83"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●Ms. Pittman received a judgment of liability for $500,000 on the terms of the delay in look back on behalf of all parties in involving Mr. Pittman about the risks of being transfused with contaminated blood</w:t>
      </w:r>
    </w:p>
    <w:p w:rsidR="00854F83" w:rsidRPr="0021164D" w:rsidRDefault="00854F83" w:rsidP="00854F83">
      <w:pPr>
        <w:spacing w:after="0" w:line="240" w:lineRule="auto"/>
        <w:rPr>
          <w:rFonts w:ascii="Times New Roman" w:hAnsi="Times New Roman" w:cs="Times New Roman"/>
          <w:sz w:val="24"/>
          <w:szCs w:val="24"/>
        </w:rPr>
      </w:pPr>
    </w:p>
    <w:p w:rsidR="00854F83" w:rsidRPr="0021164D" w:rsidRDefault="00854F83" w:rsidP="00854F83">
      <w:pPr>
        <w:spacing w:after="0" w:line="240" w:lineRule="auto"/>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seven: </w:t>
      </w:r>
    </w:p>
    <w:p w:rsidR="00395824" w:rsidRPr="0021164D" w:rsidRDefault="00395824" w:rsidP="00854F83">
      <w:pPr>
        <w:spacing w:after="0" w:line="240" w:lineRule="auto"/>
        <w:rPr>
          <w:rFonts w:ascii="Times New Roman" w:hAnsi="Times New Roman" w:cs="Times New Roman"/>
          <w:sz w:val="24"/>
          <w:szCs w:val="24"/>
          <w:u w:val="single"/>
        </w:rPr>
      </w:pPr>
    </w:p>
    <w:p w:rsidR="00395824" w:rsidRPr="0021164D" w:rsidRDefault="00395824"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Negligence: </w:t>
      </w:r>
      <w:r w:rsidR="00A12815" w:rsidRPr="0021164D">
        <w:rPr>
          <w:rFonts w:ascii="Times New Roman" w:hAnsi="Times New Roman" w:cs="Times New Roman"/>
          <w:sz w:val="24"/>
          <w:szCs w:val="24"/>
        </w:rPr>
        <w:t xml:space="preserve"> is a failure to exercise the care that a reasonably prudent person would exercise in like circumstances. The area of tort law known as negligence involves harm caused by carelessness, not intentional harm.</w:t>
      </w:r>
    </w:p>
    <w:p w:rsidR="00395824" w:rsidRPr="0021164D" w:rsidRDefault="00395824" w:rsidP="00854F83">
      <w:pPr>
        <w:spacing w:after="0" w:line="240" w:lineRule="auto"/>
        <w:rPr>
          <w:rFonts w:ascii="Times New Roman" w:hAnsi="Times New Roman" w:cs="Times New Roman"/>
          <w:sz w:val="24"/>
          <w:szCs w:val="24"/>
        </w:rPr>
      </w:pPr>
    </w:p>
    <w:p w:rsidR="00395824" w:rsidRPr="0021164D" w:rsidRDefault="00395824"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Duty of care:</w:t>
      </w:r>
      <w:r w:rsidR="00A12815" w:rsidRPr="0021164D">
        <w:rPr>
          <w:rFonts w:ascii="Times New Roman" w:hAnsi="Times New Roman" w:cs="Times New Roman"/>
          <w:sz w:val="24"/>
          <w:szCs w:val="24"/>
        </w:rPr>
        <w:t xml:space="preserve"> In tort law, a duty of care is a legal obligation imposed on an individual requiring that they adhere to a standard of reasonable care while performing any acts that could foreseeably harm others. It is the first element that must be established to proceed with an action in negligence. The claimant must be able to show a duty of care imposed by law which the defendant has breached.</w:t>
      </w:r>
    </w:p>
    <w:p w:rsidR="00395824" w:rsidRPr="0021164D" w:rsidRDefault="00395824" w:rsidP="00854F83">
      <w:pPr>
        <w:spacing w:after="0" w:line="240" w:lineRule="auto"/>
        <w:rPr>
          <w:rFonts w:ascii="Times New Roman" w:hAnsi="Times New Roman" w:cs="Times New Roman"/>
          <w:sz w:val="24"/>
          <w:szCs w:val="24"/>
        </w:rPr>
      </w:pPr>
    </w:p>
    <w:p w:rsidR="00395824" w:rsidRPr="0021164D" w:rsidRDefault="00395824"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Requirements for establishing liability in negligence: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lastRenderedPageBreak/>
        <w:t xml:space="preserve">Proof of duty of care: duty to not take care but to take reasonable care to avoid reasonably foreseeable risks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Standard of care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Causation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Foreseeable risk to cause injury: the plaintiff initiates the litigation, claiming that they have suffered injury through the case of the cause of the defendant’s own actions.  During the litigation process the plaintiff must prove that the defendant’s actions were legally wrongful and that through their negligence a specific harm was inflicted upon them. Thus, the ownice of proof is on the plaintiff to claim that they have suffered injury based off the actions of the defendant(s).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Requirement for establishing liability in negligence </w:t>
      </w:r>
    </w:p>
    <w:p w:rsidR="00395824" w:rsidRPr="0021164D" w:rsidRDefault="00395824" w:rsidP="00395824">
      <w:pPr>
        <w:pStyle w:val="ListParagraph"/>
        <w:numPr>
          <w:ilvl w:val="0"/>
          <w:numId w:val="14"/>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Foreseeable risk of care </w:t>
      </w:r>
    </w:p>
    <w:p w:rsidR="00854F83" w:rsidRPr="0021164D" w:rsidRDefault="00854F83" w:rsidP="00854F83">
      <w:pPr>
        <w:spacing w:after="0" w:line="240" w:lineRule="auto"/>
        <w:rPr>
          <w:rFonts w:ascii="Times New Roman" w:hAnsi="Times New Roman" w:cs="Times New Roman"/>
          <w:sz w:val="24"/>
          <w:szCs w:val="24"/>
          <w:u w:val="single"/>
        </w:rPr>
      </w:pPr>
    </w:p>
    <w:p w:rsidR="00854F83" w:rsidRPr="0021164D" w:rsidRDefault="00FF5C02" w:rsidP="00854F83">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Palsgraf v. Long Island Railway Co.: </w:t>
      </w:r>
    </w:p>
    <w:p w:rsidR="00395824" w:rsidRPr="0021164D" w:rsidRDefault="00395824" w:rsidP="00854F83">
      <w:pPr>
        <w:spacing w:after="0" w:line="240" w:lineRule="auto"/>
        <w:rPr>
          <w:rFonts w:ascii="Times New Roman" w:hAnsi="Times New Roman" w:cs="Times New Roman"/>
          <w:sz w:val="24"/>
          <w:szCs w:val="24"/>
        </w:rPr>
      </w:pP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●Mrs. Palsgraf (P) was standing on a Long Island Railroad (D) train platform when two men ran to catch a train</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second man was carrying a small package containing fireworks. He was helped aboard the train by one guard on the platform and another on the train. The man dropped the package which exploded when it hit the tracks</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shock of the explosion caused scales at the other end of the platform many feet away to fall, striking and injuring Palsgraf</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●Palsgraf brought a personal injury lawsuit against Long Island Railroad and the railroad appealed the court’s judgment in favor of Palsgraf. The judgment was affirmed on appeal and Long Island Railroad appealed</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court held that the conduct of Long Island Railroad’s guard was wrongful in relation to the man carrying the parcel, but not in relation to Palsgraf standing far away. No one was on notice that the package contained fireworks which when dropped could harm a person as far from the zone of danger as Palsgraf</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●To find negligence there must first be a finding that a duty was owed and breached, and that the injury could have been avoided if the defendant had been following that duty. The orbit of the danger or risk associated with a danger or risk is that which a reasonable person would foresee</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●Even if the guard had intentionally taken the package and thrown it he would not have threatened </w:t>
      </w:r>
      <w:proofErr w:type="spellStart"/>
      <w:r w:rsidRPr="0021164D">
        <w:rPr>
          <w:rFonts w:ascii="Times New Roman" w:hAnsi="Times New Roman" w:cs="Times New Roman"/>
          <w:sz w:val="24"/>
          <w:szCs w:val="24"/>
        </w:rPr>
        <w:t>Palsgraf’s</w:t>
      </w:r>
      <w:proofErr w:type="spellEnd"/>
      <w:r w:rsidRPr="0021164D">
        <w:rPr>
          <w:rFonts w:ascii="Times New Roman" w:hAnsi="Times New Roman" w:cs="Times New Roman"/>
          <w:sz w:val="24"/>
          <w:szCs w:val="24"/>
        </w:rPr>
        <w:t xml:space="preserve"> safety from the appearances of the circumstances to a reasonable person. Long Island Railroad’s liability for an inadvertent or unintentional act cannot be greater than it would be if the act had been intentional</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●There are two notable legal issues which arise in this case which must be addressed: how is the duty of due care that is owed determined and to whom does a party owe the duty of due care?</w:t>
      </w:r>
    </w:p>
    <w:p w:rsidR="00395824" w:rsidRPr="0021164D" w:rsidRDefault="003958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●There was one dissenting view to the case. Everyone owes the world at large the duty of refraining from acts that may unreasonably threaten the safety of others. In determining proximate cause the court must ask whether there was a natural and continuous sequence between the cause and effect and not whether the act would reasonably be expected to injure another. The court must consider that the greater the distance between the cause and the effect in time and space, the greater the likelihood that other causes intervene to affect the result. In this case there was no remoteness in time and little in space. Injury in some form was probable.</w:t>
      </w:r>
    </w:p>
    <w:p w:rsidR="00395824" w:rsidRPr="0021164D" w:rsidRDefault="00395824" w:rsidP="00395824">
      <w:pPr>
        <w:spacing w:after="0" w:line="240" w:lineRule="auto"/>
        <w:rPr>
          <w:rFonts w:ascii="Times New Roman" w:hAnsi="Times New Roman" w:cs="Times New Roman"/>
          <w:sz w:val="24"/>
          <w:szCs w:val="24"/>
        </w:rPr>
      </w:pPr>
    </w:p>
    <w:p w:rsidR="00395824" w:rsidRPr="0021164D" w:rsidRDefault="00395824" w:rsidP="00395824">
      <w:pPr>
        <w:spacing w:after="0" w:line="240" w:lineRule="auto"/>
        <w:rPr>
          <w:rFonts w:ascii="Times New Roman" w:hAnsi="Times New Roman" w:cs="Times New Roman"/>
          <w:sz w:val="24"/>
          <w:szCs w:val="24"/>
          <w:u w:val="single"/>
        </w:rPr>
      </w:pPr>
      <w:r w:rsidRPr="0021164D">
        <w:rPr>
          <w:rFonts w:ascii="Times New Roman" w:hAnsi="Times New Roman" w:cs="Times New Roman"/>
          <w:sz w:val="24"/>
          <w:szCs w:val="24"/>
          <w:u w:val="single"/>
        </w:rPr>
        <w:lastRenderedPageBreak/>
        <w:t xml:space="preserve">Lecture eight: </w:t>
      </w:r>
    </w:p>
    <w:p w:rsidR="00A12815" w:rsidRPr="0021164D" w:rsidRDefault="00A12815" w:rsidP="00395824">
      <w:pPr>
        <w:spacing w:after="0" w:line="240" w:lineRule="auto"/>
        <w:rPr>
          <w:rFonts w:ascii="Times New Roman" w:hAnsi="Times New Roman" w:cs="Times New Roman"/>
          <w:sz w:val="24"/>
          <w:szCs w:val="24"/>
          <w:u w:val="single"/>
        </w:rPr>
      </w:pPr>
    </w:p>
    <w:p w:rsidR="00A12815" w:rsidRPr="0021164D" w:rsidRDefault="00A12815"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Dobson v. Litigation Guardian of Dobson: </w:t>
      </w:r>
      <w:r w:rsidR="009B65EE" w:rsidRPr="0021164D">
        <w:rPr>
          <w:rFonts w:ascii="Times New Roman" w:hAnsi="Times New Roman" w:cs="Times New Roman"/>
          <w:sz w:val="24"/>
          <w:szCs w:val="24"/>
        </w:rPr>
        <w:t xml:space="preserve"> Cynthia Dobson was a pregnant woman. While in the 27th week of pregnancy she was driving her car when her negligent actions caused a car accident. The foetus was permanently injured, and was born prematurely that day. Her son, Ryan Dobson, suffered physical and mental injuries, including cerebral palsy. His grandfather launched a tort claim for damages against his mother. Ryan was successful at the Court of Appeal, which his mother appealed. The main legal issue in this case was whether a mother should be held liable in tort for damages to her child arising from a prenatal negligent act that allegedly injured the fetus in her womb? </w:t>
      </w:r>
    </w:p>
    <w:p w:rsidR="004D4024" w:rsidRPr="0021164D" w:rsidRDefault="004D4024" w:rsidP="00395824">
      <w:pPr>
        <w:spacing w:after="0" w:line="240" w:lineRule="auto"/>
        <w:rPr>
          <w:rFonts w:ascii="Times New Roman" w:hAnsi="Times New Roman" w:cs="Times New Roman"/>
          <w:sz w:val="24"/>
          <w:szCs w:val="24"/>
        </w:rPr>
      </w:pPr>
    </w:p>
    <w:p w:rsidR="004D4024" w:rsidRPr="0021164D" w:rsidRDefault="004D40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Supreme Court decision RE: Dobson v. Litigation Guardian of Dobson: </w:t>
      </w:r>
    </w:p>
    <w:p w:rsidR="004D4024" w:rsidRPr="0021164D" w:rsidRDefault="004D4024" w:rsidP="00395824">
      <w:pPr>
        <w:spacing w:after="0" w:line="240" w:lineRule="auto"/>
        <w:rPr>
          <w:rFonts w:ascii="Times New Roman" w:hAnsi="Times New Roman" w:cs="Times New Roman"/>
          <w:sz w:val="24"/>
          <w:szCs w:val="24"/>
        </w:rPr>
      </w:pPr>
    </w:p>
    <w:p w:rsidR="004D4024" w:rsidRPr="0021164D" w:rsidRDefault="004D4024" w:rsidP="004D40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●Judge Cory, writing for the majority, finds that the mother should not be held liable in the situation because of the policy implications. They employ the Kamloops test to determine if a duty of care should be owed. It has two parts:</w:t>
      </w:r>
    </w:p>
    <w:p w:rsidR="004D4024" w:rsidRPr="0021164D" w:rsidRDefault="004D4024" w:rsidP="004D4024">
      <w:pPr>
        <w:spacing w:after="0" w:line="240" w:lineRule="auto"/>
        <w:ind w:left="720"/>
        <w:rPr>
          <w:rFonts w:ascii="Times New Roman" w:hAnsi="Times New Roman" w:cs="Times New Roman"/>
          <w:sz w:val="24"/>
          <w:szCs w:val="24"/>
        </w:rPr>
      </w:pPr>
      <w:r w:rsidRPr="0021164D">
        <w:rPr>
          <w:rFonts w:ascii="Times New Roman" w:hAnsi="Times New Roman" w:cs="Times New Roman"/>
          <w:sz w:val="24"/>
          <w:szCs w:val="24"/>
        </w:rPr>
        <w:t>1. Is there a sufficiently close relationship between the two parties closes enough to create a reasonable duty of care?</w:t>
      </w:r>
    </w:p>
    <w:p w:rsidR="004D4024" w:rsidRPr="0021164D" w:rsidRDefault="004D4024" w:rsidP="004D4024">
      <w:pPr>
        <w:spacing w:after="0" w:line="240" w:lineRule="auto"/>
        <w:ind w:left="720"/>
        <w:rPr>
          <w:rFonts w:ascii="Times New Roman" w:hAnsi="Times New Roman" w:cs="Times New Roman"/>
          <w:sz w:val="24"/>
          <w:szCs w:val="24"/>
        </w:rPr>
      </w:pPr>
      <w:r w:rsidRPr="0021164D">
        <w:rPr>
          <w:rFonts w:ascii="Times New Roman" w:hAnsi="Times New Roman" w:cs="Times New Roman"/>
          <w:sz w:val="24"/>
          <w:szCs w:val="24"/>
        </w:rPr>
        <w:t>2. Are there any public policy implications that should negate or limit the scope of the duty of care?</w:t>
      </w:r>
    </w:p>
    <w:p w:rsidR="004D4024" w:rsidRPr="0021164D" w:rsidRDefault="004D4024" w:rsidP="004D40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●They find that the first part is satisfied; however the public policy implications negate the duty. They state that there are two main reasons for this: it would violate the privacy and autonomy of women, and it is impossible to judicially define a reasonable standard of conduct for pregnant women. The decision is split 4 to 3</w:t>
      </w:r>
    </w:p>
    <w:p w:rsidR="004D4024" w:rsidRPr="0021164D" w:rsidRDefault="004D4024" w:rsidP="004D40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 </w:t>
      </w:r>
      <w:proofErr w:type="spellStart"/>
      <w:r w:rsidRPr="0021164D">
        <w:rPr>
          <w:rFonts w:ascii="Times New Roman" w:hAnsi="Times New Roman" w:cs="Times New Roman"/>
          <w:sz w:val="24"/>
          <w:szCs w:val="24"/>
        </w:rPr>
        <w:t>McLachlin</w:t>
      </w:r>
      <w:proofErr w:type="spellEnd"/>
      <w:r w:rsidRPr="0021164D">
        <w:rPr>
          <w:rFonts w:ascii="Times New Roman" w:hAnsi="Times New Roman" w:cs="Times New Roman"/>
          <w:sz w:val="24"/>
          <w:szCs w:val="24"/>
        </w:rPr>
        <w:t>, in a concurring judgment, states that another main reason why this duty cannot be imposed is that it would violate pregnant women's rights under the Charter – specifically liberty and equality. They would lose their liberty, and not be treated equally with other women in society</w:t>
      </w:r>
    </w:p>
    <w:p w:rsidR="00D61B24" w:rsidRPr="0021164D" w:rsidRDefault="00D61B24" w:rsidP="00395824">
      <w:pPr>
        <w:spacing w:after="0" w:line="240" w:lineRule="auto"/>
        <w:rPr>
          <w:rFonts w:ascii="Times New Roman" w:hAnsi="Times New Roman" w:cs="Times New Roman"/>
          <w:sz w:val="24"/>
          <w:szCs w:val="24"/>
        </w:rPr>
      </w:pPr>
    </w:p>
    <w:p w:rsidR="00D61B24" w:rsidRPr="0021164D" w:rsidRDefault="00D61B24" w:rsidP="00395824">
      <w:pPr>
        <w:spacing w:after="0" w:line="240" w:lineRule="auto"/>
        <w:rPr>
          <w:rFonts w:ascii="Times New Roman" w:hAnsi="Times New Roman" w:cs="Times New Roman"/>
          <w:sz w:val="24"/>
          <w:szCs w:val="24"/>
        </w:rPr>
      </w:pPr>
      <w:proofErr w:type="spellStart"/>
      <w:r w:rsidRPr="0021164D">
        <w:rPr>
          <w:rFonts w:ascii="Times New Roman" w:hAnsi="Times New Roman" w:cs="Times New Roman"/>
          <w:sz w:val="24"/>
          <w:szCs w:val="24"/>
        </w:rPr>
        <w:t>Alcock</w:t>
      </w:r>
      <w:proofErr w:type="spellEnd"/>
      <w:r w:rsidRPr="0021164D">
        <w:rPr>
          <w:rFonts w:ascii="Times New Roman" w:hAnsi="Times New Roman" w:cs="Times New Roman"/>
          <w:sz w:val="24"/>
          <w:szCs w:val="24"/>
        </w:rPr>
        <w:t xml:space="preserve"> v. Chief Constable of South Yorkshire:</w:t>
      </w:r>
      <w:r w:rsidR="009B65EE" w:rsidRPr="0021164D">
        <w:rPr>
          <w:rFonts w:ascii="Times New Roman" w:hAnsi="Times New Roman" w:cs="Times New Roman"/>
          <w:sz w:val="24"/>
          <w:szCs w:val="24"/>
        </w:rPr>
        <w:t xml:space="preserve"> Is considered a leading case in English Tort law related to the liability for nervous shock and or other types of psychiatric injury</w:t>
      </w:r>
      <w:r w:rsidRPr="0021164D">
        <w:rPr>
          <w:rFonts w:ascii="Times New Roman" w:hAnsi="Times New Roman" w:cs="Times New Roman"/>
          <w:sz w:val="24"/>
          <w:szCs w:val="24"/>
        </w:rPr>
        <w:t xml:space="preserve"> </w:t>
      </w:r>
      <w:r w:rsidR="009B65EE" w:rsidRPr="0021164D">
        <w:rPr>
          <w:rFonts w:ascii="Times New Roman" w:hAnsi="Times New Roman" w:cs="Times New Roman"/>
          <w:sz w:val="24"/>
          <w:szCs w:val="24"/>
        </w:rPr>
        <w:t xml:space="preserve">.The claims were brought by </w:t>
      </w:r>
      <w:proofErr w:type="spellStart"/>
      <w:r w:rsidR="009B65EE" w:rsidRPr="0021164D">
        <w:rPr>
          <w:rFonts w:ascii="Times New Roman" w:hAnsi="Times New Roman" w:cs="Times New Roman"/>
          <w:sz w:val="24"/>
          <w:szCs w:val="24"/>
        </w:rPr>
        <w:t>Alcock</w:t>
      </w:r>
      <w:proofErr w:type="spellEnd"/>
      <w:r w:rsidR="009B65EE" w:rsidRPr="0021164D">
        <w:rPr>
          <w:rFonts w:ascii="Times New Roman" w:hAnsi="Times New Roman" w:cs="Times New Roman"/>
          <w:sz w:val="24"/>
          <w:szCs w:val="24"/>
        </w:rPr>
        <w:t xml:space="preserve"> and several other claimants after the Hillsborough disaster in 1989, where 96 Liverpool fans died in a massive crush during the FA Cup Semi Final at Hillsborough Stadium in Sheffield. Acc</w:t>
      </w:r>
      <w:r w:rsidR="004D4024" w:rsidRPr="0021164D">
        <w:rPr>
          <w:rFonts w:ascii="Times New Roman" w:hAnsi="Times New Roman" w:cs="Times New Roman"/>
          <w:sz w:val="24"/>
          <w:szCs w:val="24"/>
        </w:rPr>
        <w:t xml:space="preserve">ording to the Taylor Report </w:t>
      </w:r>
      <w:r w:rsidR="009B65EE" w:rsidRPr="0021164D">
        <w:rPr>
          <w:rFonts w:ascii="Times New Roman" w:hAnsi="Times New Roman" w:cs="Times New Roman"/>
          <w:sz w:val="24"/>
          <w:szCs w:val="24"/>
        </w:rPr>
        <w:t>as well as the later report of the Hillsborough Independent Pan</w:t>
      </w:r>
      <w:r w:rsidR="004D4024" w:rsidRPr="0021164D">
        <w:rPr>
          <w:rFonts w:ascii="Times New Roman" w:hAnsi="Times New Roman" w:cs="Times New Roman"/>
          <w:sz w:val="24"/>
          <w:szCs w:val="24"/>
        </w:rPr>
        <w:t>el</w:t>
      </w:r>
      <w:r w:rsidR="009B65EE" w:rsidRPr="0021164D">
        <w:rPr>
          <w:rFonts w:ascii="Times New Roman" w:hAnsi="Times New Roman" w:cs="Times New Roman"/>
          <w:sz w:val="24"/>
          <w:szCs w:val="24"/>
        </w:rPr>
        <w:t>, the accident was caused by the police negligently allowing too many supporters to crowd in one part of the stadium. Many alleged to have seen their friends and relatives die in the crush and suffered psychiatric harm or nervous shock after the incident.</w:t>
      </w:r>
    </w:p>
    <w:p w:rsidR="00D61B24" w:rsidRPr="0021164D" w:rsidRDefault="00D61B24" w:rsidP="00395824">
      <w:pPr>
        <w:spacing w:after="0" w:line="240" w:lineRule="auto"/>
        <w:rPr>
          <w:rFonts w:ascii="Times New Roman" w:hAnsi="Times New Roman" w:cs="Times New Roman"/>
          <w:sz w:val="24"/>
          <w:szCs w:val="24"/>
        </w:rPr>
      </w:pPr>
    </w:p>
    <w:p w:rsidR="00D61B24" w:rsidRPr="0021164D" w:rsidRDefault="00D61B24" w:rsidP="00395824">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The Kamloops Test: Established by the supreme court after the trial of Kamloops city v. Nielsen. Since its decision in Kamloops, the SCC has enumerated five categories of compensable loss</w:t>
      </w:r>
      <w:r w:rsidR="00223419" w:rsidRPr="0021164D">
        <w:rPr>
          <w:rFonts w:ascii="Times New Roman" w:hAnsi="Times New Roman" w:cs="Times New Roman"/>
          <w:sz w:val="24"/>
          <w:szCs w:val="24"/>
        </w:rPr>
        <w:t xml:space="preserve"> and liability due to negligence</w:t>
      </w:r>
      <w:r w:rsidR="009B65EE" w:rsidRPr="0021164D">
        <w:rPr>
          <w:rFonts w:ascii="Times New Roman" w:hAnsi="Times New Roman" w:cs="Times New Roman"/>
          <w:sz w:val="24"/>
          <w:szCs w:val="24"/>
        </w:rPr>
        <w:t xml:space="preserve">.  The following test was also applied in the case of Dobson v. Litigation of Guardian of Dobson. </w:t>
      </w:r>
    </w:p>
    <w:p w:rsidR="009B65EE" w:rsidRPr="0021164D" w:rsidRDefault="009B65EE" w:rsidP="009B65EE">
      <w:pPr>
        <w:spacing w:after="0" w:line="240" w:lineRule="auto"/>
        <w:ind w:firstLine="720"/>
        <w:rPr>
          <w:rFonts w:ascii="Times New Roman" w:hAnsi="Times New Roman" w:cs="Times New Roman"/>
          <w:sz w:val="24"/>
          <w:szCs w:val="24"/>
        </w:rPr>
      </w:pPr>
      <w:r w:rsidRPr="0021164D">
        <w:rPr>
          <w:rFonts w:ascii="Times New Roman" w:hAnsi="Times New Roman" w:cs="Times New Roman"/>
          <w:sz w:val="24"/>
          <w:szCs w:val="24"/>
        </w:rPr>
        <w:t>a. The Independent Liability of Statutory Public Authorities;</w:t>
      </w:r>
    </w:p>
    <w:p w:rsidR="009B65EE" w:rsidRPr="0021164D" w:rsidRDefault="009B65EE" w:rsidP="009B65EE">
      <w:pPr>
        <w:spacing w:after="0" w:line="240" w:lineRule="auto"/>
        <w:ind w:firstLine="720"/>
        <w:rPr>
          <w:rFonts w:ascii="Times New Roman" w:hAnsi="Times New Roman" w:cs="Times New Roman"/>
          <w:sz w:val="24"/>
          <w:szCs w:val="24"/>
        </w:rPr>
      </w:pPr>
      <w:r w:rsidRPr="0021164D">
        <w:rPr>
          <w:rFonts w:ascii="Times New Roman" w:hAnsi="Times New Roman" w:cs="Times New Roman"/>
          <w:sz w:val="24"/>
          <w:szCs w:val="24"/>
        </w:rPr>
        <w:t>b. Negligent Misrepresentation;</w:t>
      </w:r>
    </w:p>
    <w:p w:rsidR="009B65EE" w:rsidRPr="0021164D" w:rsidRDefault="009B65EE" w:rsidP="009B65EE">
      <w:pPr>
        <w:spacing w:after="0" w:line="240" w:lineRule="auto"/>
        <w:ind w:firstLine="720"/>
        <w:rPr>
          <w:rFonts w:ascii="Times New Roman" w:hAnsi="Times New Roman" w:cs="Times New Roman"/>
          <w:sz w:val="24"/>
          <w:szCs w:val="24"/>
        </w:rPr>
      </w:pPr>
      <w:r w:rsidRPr="0021164D">
        <w:rPr>
          <w:rFonts w:ascii="Times New Roman" w:hAnsi="Times New Roman" w:cs="Times New Roman"/>
          <w:sz w:val="24"/>
          <w:szCs w:val="24"/>
        </w:rPr>
        <w:t>c. Negligent Performance of a Service;</w:t>
      </w:r>
    </w:p>
    <w:p w:rsidR="009B65EE" w:rsidRPr="0021164D" w:rsidRDefault="009B65EE" w:rsidP="009B65EE">
      <w:pPr>
        <w:spacing w:after="0" w:line="240" w:lineRule="auto"/>
        <w:ind w:firstLine="720"/>
        <w:rPr>
          <w:rFonts w:ascii="Times New Roman" w:hAnsi="Times New Roman" w:cs="Times New Roman"/>
          <w:sz w:val="24"/>
          <w:szCs w:val="24"/>
        </w:rPr>
      </w:pPr>
      <w:r w:rsidRPr="0021164D">
        <w:rPr>
          <w:rFonts w:ascii="Times New Roman" w:hAnsi="Times New Roman" w:cs="Times New Roman"/>
          <w:sz w:val="24"/>
          <w:szCs w:val="24"/>
        </w:rPr>
        <w:t>d. Negligent Supply of Goods or Structures;</w:t>
      </w:r>
    </w:p>
    <w:p w:rsidR="009B65EE" w:rsidRPr="0021164D" w:rsidRDefault="009B65EE" w:rsidP="009B65EE">
      <w:pPr>
        <w:spacing w:after="0" w:line="240" w:lineRule="auto"/>
        <w:ind w:firstLine="720"/>
        <w:rPr>
          <w:rFonts w:ascii="Times New Roman" w:hAnsi="Times New Roman" w:cs="Times New Roman"/>
          <w:sz w:val="24"/>
          <w:szCs w:val="24"/>
        </w:rPr>
      </w:pPr>
      <w:r w:rsidRPr="0021164D">
        <w:rPr>
          <w:rFonts w:ascii="Times New Roman" w:hAnsi="Times New Roman" w:cs="Times New Roman"/>
          <w:sz w:val="24"/>
          <w:szCs w:val="24"/>
        </w:rPr>
        <w:lastRenderedPageBreak/>
        <w:t>e. Relational Economic Loss.</w:t>
      </w:r>
    </w:p>
    <w:p w:rsidR="0063392F" w:rsidRPr="0021164D" w:rsidRDefault="0063392F" w:rsidP="0063392F">
      <w:pPr>
        <w:spacing w:after="0" w:line="240" w:lineRule="auto"/>
        <w:rPr>
          <w:rFonts w:ascii="Times New Roman" w:hAnsi="Times New Roman" w:cs="Times New Roman"/>
          <w:sz w:val="24"/>
          <w:szCs w:val="24"/>
        </w:rPr>
      </w:pPr>
    </w:p>
    <w:p w:rsidR="00DB5975" w:rsidRPr="0021164D" w:rsidRDefault="00DB5975"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nine: </w:t>
      </w:r>
    </w:p>
    <w:p w:rsidR="0091025D" w:rsidRPr="0021164D" w:rsidRDefault="0091025D" w:rsidP="00EF671B">
      <w:pPr>
        <w:rPr>
          <w:rFonts w:ascii="Times New Roman" w:hAnsi="Times New Roman" w:cs="Times New Roman"/>
          <w:sz w:val="24"/>
          <w:szCs w:val="24"/>
        </w:rPr>
      </w:pPr>
      <w:r w:rsidRPr="0021164D">
        <w:rPr>
          <w:rFonts w:ascii="Times New Roman" w:hAnsi="Times New Roman" w:cs="Times New Roman"/>
          <w:sz w:val="24"/>
          <w:szCs w:val="24"/>
        </w:rPr>
        <w:t xml:space="preserve">Establishing a claim of negligence: </w:t>
      </w:r>
    </w:p>
    <w:p w:rsidR="0091025D" w:rsidRPr="0021164D" w:rsidRDefault="0091025D" w:rsidP="0091025D">
      <w:pPr>
        <w:numPr>
          <w:ilvl w:val="0"/>
          <w:numId w:val="1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hAnsi="Times New Roman" w:cs="Times New Roman"/>
          <w:sz w:val="24"/>
          <w:szCs w:val="24"/>
        </w:rPr>
        <w:t>What degree of injury did the plaintiff suffer as a result of the defendant’s failure to take reasonable care?</w:t>
      </w:r>
      <w:r w:rsidRPr="0021164D">
        <w:rPr>
          <w:rFonts w:ascii="Times New Roman" w:hAnsi="Times New Roman" w:cs="Times New Roman"/>
          <w:color w:val="000000"/>
          <w:sz w:val="24"/>
          <w:szCs w:val="24"/>
        </w:rPr>
        <w:t xml:space="preserve"> </w:t>
      </w:r>
      <w:r w:rsidRPr="0021164D">
        <w:rPr>
          <w:rFonts w:ascii="Times New Roman" w:eastAsia="Times New Roman" w:hAnsi="Times New Roman" w:cs="Times New Roman"/>
          <w:color w:val="000000"/>
          <w:sz w:val="24"/>
          <w:szCs w:val="24"/>
          <w:lang w:eastAsia="en-CA"/>
        </w:rPr>
        <w:t>Does the defendant owe a duty care to the plaintiff?</w:t>
      </w:r>
    </w:p>
    <w:p w:rsidR="0091025D" w:rsidRPr="0021164D" w:rsidRDefault="0091025D" w:rsidP="0091025D">
      <w:pPr>
        <w:numPr>
          <w:ilvl w:val="0"/>
          <w:numId w:val="1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If yes to question 1, did the conduct fall below the appropriate standard of care?</w:t>
      </w:r>
    </w:p>
    <w:p w:rsidR="0091025D" w:rsidRPr="0021164D" w:rsidRDefault="0091025D" w:rsidP="0091025D">
      <w:pPr>
        <w:numPr>
          <w:ilvl w:val="0"/>
          <w:numId w:val="1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did the defendant's failure to take reasonable care cause the plaintiff injury</w:t>
      </w:r>
    </w:p>
    <w:p w:rsidR="0091025D" w:rsidRPr="0021164D" w:rsidRDefault="0091025D" w:rsidP="0091025D">
      <w:pPr>
        <w:numPr>
          <w:ilvl w:val="0"/>
          <w:numId w:val="1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Was the risk of injury to plaintiff reasonably foreseeable?</w:t>
      </w:r>
    </w:p>
    <w:p w:rsidR="0091025D" w:rsidRPr="0021164D" w:rsidRDefault="0091025D" w:rsidP="0091025D">
      <w:pPr>
        <w:numPr>
          <w:ilvl w:val="0"/>
          <w:numId w:val="1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What degree of injury did the plaintiff suffer as a result of the defendants failure to take reasonable care?</w:t>
      </w:r>
    </w:p>
    <w:p w:rsidR="00DB5975" w:rsidRPr="0021164D" w:rsidRDefault="00DB5975" w:rsidP="00223419">
      <w:pPr>
        <w:rPr>
          <w:rFonts w:ascii="Times New Roman" w:hAnsi="Times New Roman" w:cs="Times New Roman"/>
          <w:sz w:val="24"/>
          <w:szCs w:val="24"/>
        </w:rPr>
      </w:pPr>
      <w:r w:rsidRPr="0021164D">
        <w:rPr>
          <w:rFonts w:ascii="Times New Roman" w:hAnsi="Times New Roman" w:cs="Times New Roman"/>
          <w:sz w:val="24"/>
          <w:szCs w:val="24"/>
        </w:rPr>
        <w:t xml:space="preserve">Jordan House v. </w:t>
      </w:r>
      <w:proofErr w:type="spellStart"/>
      <w:r w:rsidRPr="0021164D">
        <w:rPr>
          <w:rFonts w:ascii="Times New Roman" w:hAnsi="Times New Roman" w:cs="Times New Roman"/>
          <w:sz w:val="24"/>
          <w:szCs w:val="24"/>
        </w:rPr>
        <w:t>Menow</w:t>
      </w:r>
      <w:proofErr w:type="spellEnd"/>
      <w:r w:rsidRPr="0021164D">
        <w:rPr>
          <w:rFonts w:ascii="Times New Roman" w:hAnsi="Times New Roman" w:cs="Times New Roman"/>
          <w:sz w:val="24"/>
          <w:szCs w:val="24"/>
        </w:rPr>
        <w:t xml:space="preserve">: </w:t>
      </w:r>
      <w:r w:rsidR="006658B8" w:rsidRPr="0021164D">
        <w:rPr>
          <w:rFonts w:ascii="Times New Roman" w:hAnsi="Times New Roman" w:cs="Times New Roman"/>
          <w:sz w:val="24"/>
          <w:szCs w:val="24"/>
        </w:rPr>
        <w:t>i</w:t>
      </w:r>
      <w:r w:rsidR="00A2499E" w:rsidRPr="0021164D">
        <w:rPr>
          <w:rFonts w:ascii="Times New Roman" w:hAnsi="Times New Roman" w:cs="Times New Roman"/>
          <w:sz w:val="24"/>
          <w:szCs w:val="24"/>
        </w:rPr>
        <w:t>s a landmark decision of the Supreme Court of Canada on the commercial host liability where the Court held that a bar owner has a duty to reasonably ensure their intoxicated patrons are able to make it home safely.</w:t>
      </w:r>
      <w:r w:rsidR="00223419" w:rsidRPr="0021164D">
        <w:rPr>
          <w:rFonts w:ascii="Times New Roman" w:hAnsi="Times New Roman" w:cs="Times New Roman"/>
          <w:sz w:val="24"/>
          <w:szCs w:val="24"/>
        </w:rPr>
        <w:t xml:space="preserve"> </w:t>
      </w:r>
      <w:proofErr w:type="spellStart"/>
      <w:r w:rsidR="00223419" w:rsidRPr="0021164D">
        <w:rPr>
          <w:rFonts w:ascii="Times New Roman" w:hAnsi="Times New Roman" w:cs="Times New Roman"/>
          <w:sz w:val="24"/>
          <w:szCs w:val="24"/>
        </w:rPr>
        <w:t>Menow</w:t>
      </w:r>
      <w:proofErr w:type="spellEnd"/>
      <w:r w:rsidR="00223419" w:rsidRPr="0021164D">
        <w:rPr>
          <w:rFonts w:ascii="Times New Roman" w:hAnsi="Times New Roman" w:cs="Times New Roman"/>
          <w:sz w:val="24"/>
          <w:szCs w:val="24"/>
        </w:rPr>
        <w:t xml:space="preserve"> had a reputation of behaving badly and was banned from the Jordan House Hotel for drunken behavior. Eventually he was allowed back and was allowed to be served alcohol on the condition that he be escorted by a responsible adult. On a later night he went to the hotel bar but was abandoned by his escort for three hours while he was served drinks. He became extremely intoxicated and began to harass other patrons. </w:t>
      </w:r>
      <w:proofErr w:type="spellStart"/>
      <w:r w:rsidR="00223419" w:rsidRPr="0021164D">
        <w:rPr>
          <w:rFonts w:ascii="Times New Roman" w:hAnsi="Times New Roman" w:cs="Times New Roman"/>
          <w:sz w:val="24"/>
          <w:szCs w:val="24"/>
        </w:rPr>
        <w:t>Menow</w:t>
      </w:r>
      <w:proofErr w:type="spellEnd"/>
      <w:r w:rsidR="00223419" w:rsidRPr="0021164D">
        <w:rPr>
          <w:rFonts w:ascii="Times New Roman" w:hAnsi="Times New Roman" w:cs="Times New Roman"/>
          <w:sz w:val="24"/>
          <w:szCs w:val="24"/>
        </w:rPr>
        <w:t xml:space="preserve"> was soon ejected from the hotel bar and started to make his way home down a highway but was hit by a car. </w:t>
      </w:r>
      <w:proofErr w:type="spellStart"/>
      <w:r w:rsidR="00223419" w:rsidRPr="0021164D">
        <w:rPr>
          <w:rFonts w:ascii="Times New Roman" w:hAnsi="Times New Roman" w:cs="Times New Roman"/>
          <w:sz w:val="24"/>
          <w:szCs w:val="24"/>
        </w:rPr>
        <w:t>Menow</w:t>
      </w:r>
      <w:proofErr w:type="spellEnd"/>
      <w:r w:rsidR="00223419" w:rsidRPr="0021164D">
        <w:rPr>
          <w:rFonts w:ascii="Times New Roman" w:hAnsi="Times New Roman" w:cs="Times New Roman"/>
          <w:sz w:val="24"/>
          <w:szCs w:val="24"/>
        </w:rPr>
        <w:t xml:space="preserve"> brought an action against the hotel in tort for violating their duty of care by serving him alcohol and not ensuring he was safe when he left the hotel. At trial, the court held that the hotel violated a common law duty of care to protect patrons from "danger of personal injury, foreseeable as a result of the eviction". The duty, the trial judge found, could have easily been discharged by calling the police or arrange for a safe way home. The Supreme Court upheld much of the trial judge's ruling. Ritchie J. found that the hotel was aware of </w:t>
      </w:r>
      <w:proofErr w:type="spellStart"/>
      <w:r w:rsidR="00223419" w:rsidRPr="0021164D">
        <w:rPr>
          <w:rFonts w:ascii="Times New Roman" w:hAnsi="Times New Roman" w:cs="Times New Roman"/>
          <w:sz w:val="24"/>
          <w:szCs w:val="24"/>
        </w:rPr>
        <w:t>Menow's</w:t>
      </w:r>
      <w:proofErr w:type="spellEnd"/>
      <w:r w:rsidR="00223419" w:rsidRPr="0021164D">
        <w:rPr>
          <w:rFonts w:ascii="Times New Roman" w:hAnsi="Times New Roman" w:cs="Times New Roman"/>
          <w:sz w:val="24"/>
          <w:szCs w:val="24"/>
        </w:rPr>
        <w:t xml:space="preserve"> behaviour yet still assisted him in becoming intoxicated, which they ought to have known might result in danger to </w:t>
      </w:r>
      <w:proofErr w:type="spellStart"/>
      <w:r w:rsidR="00223419" w:rsidRPr="0021164D">
        <w:rPr>
          <w:rFonts w:ascii="Times New Roman" w:hAnsi="Times New Roman" w:cs="Times New Roman"/>
          <w:sz w:val="24"/>
          <w:szCs w:val="24"/>
        </w:rPr>
        <w:t>Menow</w:t>
      </w:r>
      <w:proofErr w:type="spellEnd"/>
      <w:r w:rsidR="00223419" w:rsidRPr="0021164D">
        <w:rPr>
          <w:rFonts w:ascii="Times New Roman" w:hAnsi="Times New Roman" w:cs="Times New Roman"/>
          <w:sz w:val="24"/>
          <w:szCs w:val="24"/>
        </w:rPr>
        <w:t xml:space="preserve">. This awareness should have "seized them with a duty to be careful not to serve him with repeated drinks after the effects of what he had already consumed should have been obvious." The breach of duty was a result of both a failure to protect </w:t>
      </w:r>
      <w:proofErr w:type="spellStart"/>
      <w:r w:rsidR="00223419" w:rsidRPr="0021164D">
        <w:rPr>
          <w:rFonts w:ascii="Times New Roman" w:hAnsi="Times New Roman" w:cs="Times New Roman"/>
          <w:sz w:val="24"/>
          <w:szCs w:val="24"/>
        </w:rPr>
        <w:t>Menow</w:t>
      </w:r>
      <w:proofErr w:type="spellEnd"/>
      <w:r w:rsidR="00223419" w:rsidRPr="0021164D">
        <w:rPr>
          <w:rFonts w:ascii="Times New Roman" w:hAnsi="Times New Roman" w:cs="Times New Roman"/>
          <w:sz w:val="24"/>
          <w:szCs w:val="24"/>
        </w:rPr>
        <w:t xml:space="preserve"> once he became intoxicated and a failure to ensure he did not become intoxicated in the first place.</w:t>
      </w:r>
    </w:p>
    <w:p w:rsidR="00DB5975" w:rsidRPr="0021164D" w:rsidRDefault="00DB5975" w:rsidP="00223419">
      <w:pPr>
        <w:rPr>
          <w:rFonts w:ascii="Times New Roman" w:hAnsi="Times New Roman" w:cs="Times New Roman"/>
          <w:sz w:val="24"/>
          <w:szCs w:val="24"/>
        </w:rPr>
      </w:pPr>
      <w:r w:rsidRPr="0021164D">
        <w:rPr>
          <w:rFonts w:ascii="Times New Roman" w:hAnsi="Times New Roman" w:cs="Times New Roman"/>
          <w:sz w:val="24"/>
          <w:szCs w:val="24"/>
        </w:rPr>
        <w:t xml:space="preserve">Stewart v. </w:t>
      </w:r>
      <w:proofErr w:type="spellStart"/>
      <w:r w:rsidR="0091025D" w:rsidRPr="0021164D">
        <w:rPr>
          <w:rFonts w:ascii="Times New Roman" w:hAnsi="Times New Roman" w:cs="Times New Roman"/>
          <w:sz w:val="24"/>
          <w:szCs w:val="24"/>
        </w:rPr>
        <w:t>Pettie</w:t>
      </w:r>
      <w:proofErr w:type="spellEnd"/>
      <w:r w:rsidR="0091025D" w:rsidRPr="0021164D">
        <w:rPr>
          <w:rFonts w:ascii="Times New Roman" w:hAnsi="Times New Roman" w:cs="Times New Roman"/>
          <w:sz w:val="24"/>
          <w:szCs w:val="24"/>
        </w:rPr>
        <w:t xml:space="preserve">: </w:t>
      </w:r>
      <w:r w:rsidR="00223419" w:rsidRPr="0021164D">
        <w:rPr>
          <w:rFonts w:ascii="Times New Roman" w:hAnsi="Times New Roman" w:cs="Times New Roman"/>
          <w:sz w:val="24"/>
          <w:szCs w:val="24"/>
        </w:rPr>
        <w:t xml:space="preserve">is leading decision of the Supreme Court of Canada on the duty of care owed by commercial establishments serving liquor. In December 1985, two couples, Gillian and Keith Stewart and Stuart and Shelley </w:t>
      </w:r>
      <w:proofErr w:type="spellStart"/>
      <w:r w:rsidR="00223419" w:rsidRPr="0021164D">
        <w:rPr>
          <w:rFonts w:ascii="Times New Roman" w:hAnsi="Times New Roman" w:cs="Times New Roman"/>
          <w:sz w:val="24"/>
          <w:szCs w:val="24"/>
        </w:rPr>
        <w:t>Pettie</w:t>
      </w:r>
      <w:proofErr w:type="spellEnd"/>
      <w:r w:rsidR="00223419" w:rsidRPr="0021164D">
        <w:rPr>
          <w:rFonts w:ascii="Times New Roman" w:hAnsi="Times New Roman" w:cs="Times New Roman"/>
          <w:sz w:val="24"/>
          <w:szCs w:val="24"/>
        </w:rPr>
        <w:t xml:space="preserve">, went to a dinner theatre in Edmonton. At dinner Stuart was served a number of rum-and-cokes but showed no signs of intoxication. Afterwards the four discussed who should drive and Stuart insisted he was fit to drive, and so they agreed to let him drive. On the way back Stuart got them in an accident. Among the injuries, Gillian was rendered quadriplegic. At trial the judge found that the dinner theatre could not have been aware of Stuart's degree of intoxication and did not impose liability based solely on the number of drinks </w:t>
      </w:r>
      <w:r w:rsidR="00223419" w:rsidRPr="0021164D">
        <w:rPr>
          <w:rFonts w:ascii="Times New Roman" w:hAnsi="Times New Roman" w:cs="Times New Roman"/>
          <w:sz w:val="24"/>
          <w:szCs w:val="24"/>
        </w:rPr>
        <w:lastRenderedPageBreak/>
        <w:t>served. On appeal the Court of Appeal overturned the decision and allocated 10% liability to the theatre. The court held that the Mayfield investments (owners of the theatre) did not breach the duty that they owed to Gillian Stewart.</w:t>
      </w:r>
    </w:p>
    <w:p w:rsidR="0091025D" w:rsidRPr="0021164D" w:rsidRDefault="0091025D" w:rsidP="00EF671B">
      <w:pPr>
        <w:rPr>
          <w:rFonts w:ascii="Times New Roman" w:hAnsi="Times New Roman" w:cs="Times New Roman"/>
          <w:sz w:val="24"/>
          <w:szCs w:val="24"/>
        </w:rPr>
      </w:pPr>
      <w:r w:rsidRPr="0021164D">
        <w:rPr>
          <w:rFonts w:ascii="Times New Roman" w:hAnsi="Times New Roman" w:cs="Times New Roman"/>
          <w:sz w:val="24"/>
          <w:szCs w:val="24"/>
        </w:rPr>
        <w:t>Childs v. Deso</w:t>
      </w:r>
      <w:r w:rsidR="00223419" w:rsidRPr="0021164D">
        <w:rPr>
          <w:rFonts w:ascii="Times New Roman" w:hAnsi="Times New Roman" w:cs="Times New Roman"/>
          <w:sz w:val="24"/>
          <w:szCs w:val="24"/>
        </w:rPr>
        <w:t>r</w:t>
      </w:r>
      <w:r w:rsidRPr="0021164D">
        <w:rPr>
          <w:rFonts w:ascii="Times New Roman" w:hAnsi="Times New Roman" w:cs="Times New Roman"/>
          <w:sz w:val="24"/>
          <w:szCs w:val="24"/>
        </w:rPr>
        <w:t xml:space="preserve">meaux: </w:t>
      </w:r>
      <w:r w:rsidR="00223419" w:rsidRPr="0021164D">
        <w:rPr>
          <w:rFonts w:ascii="Times New Roman" w:hAnsi="Times New Roman" w:cs="Times New Roman"/>
          <w:sz w:val="24"/>
          <w:szCs w:val="24"/>
        </w:rPr>
        <w:t xml:space="preserve">is a Supreme Court of Canada decision on the topic of social host liability. The Court held that a social host does not owe a duty of care to a person injured by a guest who has consumed alcohol. Julie Zimmerman and Dwight </w:t>
      </w:r>
      <w:proofErr w:type="spellStart"/>
      <w:r w:rsidR="00223419" w:rsidRPr="0021164D">
        <w:rPr>
          <w:rFonts w:ascii="Times New Roman" w:hAnsi="Times New Roman" w:cs="Times New Roman"/>
          <w:sz w:val="24"/>
          <w:szCs w:val="24"/>
        </w:rPr>
        <w:t>Courrier</w:t>
      </w:r>
      <w:proofErr w:type="spellEnd"/>
      <w:r w:rsidR="00223419" w:rsidRPr="0021164D">
        <w:rPr>
          <w:rFonts w:ascii="Times New Roman" w:hAnsi="Times New Roman" w:cs="Times New Roman"/>
          <w:sz w:val="24"/>
          <w:szCs w:val="24"/>
        </w:rPr>
        <w:t xml:space="preserve"> hosted a New Year's pot-luck dinner to which guests were to bring their own alcohol. Desmond Desormeaux, a guest at the party and long-time heavy drinker, drank approximately 12 beers in over 2 and half hours that evening. According to the version of events accepted by both sides, the hosts did not monitor his drinking more closely than the drinking of the other guests. Desormeaux drove home after a brief conversation with </w:t>
      </w:r>
      <w:proofErr w:type="spellStart"/>
      <w:r w:rsidR="00223419" w:rsidRPr="0021164D">
        <w:rPr>
          <w:rFonts w:ascii="Times New Roman" w:hAnsi="Times New Roman" w:cs="Times New Roman"/>
          <w:sz w:val="24"/>
          <w:szCs w:val="24"/>
        </w:rPr>
        <w:t>Courrier</w:t>
      </w:r>
      <w:proofErr w:type="spellEnd"/>
      <w:r w:rsidR="00223419" w:rsidRPr="0021164D">
        <w:rPr>
          <w:rFonts w:ascii="Times New Roman" w:hAnsi="Times New Roman" w:cs="Times New Roman"/>
          <w:sz w:val="24"/>
          <w:szCs w:val="24"/>
        </w:rPr>
        <w:t xml:space="preserve">, who asked him, "Bro, are you going to be all right?". On the way home, he was involved in a car crash, paralyzing the passenger Zoë Childs and killing another passenger. The trial judge at the Ontario Superior Court of Justice found that the injury to Childs was reasonably foreseeable, that is, a reasonable person in the position of Mr. </w:t>
      </w:r>
      <w:proofErr w:type="spellStart"/>
      <w:r w:rsidR="00223419" w:rsidRPr="0021164D">
        <w:rPr>
          <w:rFonts w:ascii="Times New Roman" w:hAnsi="Times New Roman" w:cs="Times New Roman"/>
          <w:sz w:val="24"/>
          <w:szCs w:val="24"/>
        </w:rPr>
        <w:t>Courrier</w:t>
      </w:r>
      <w:proofErr w:type="spellEnd"/>
      <w:r w:rsidR="00223419" w:rsidRPr="0021164D">
        <w:rPr>
          <w:rFonts w:ascii="Times New Roman" w:hAnsi="Times New Roman" w:cs="Times New Roman"/>
          <w:sz w:val="24"/>
          <w:szCs w:val="24"/>
        </w:rPr>
        <w:t xml:space="preserve"> and Ms. Zimmerman would have foreseen that Mr. Desormeaux might cause an accident and injure someone else—but refused to impose a duty of care based on public policy grounds. Like the trial court, the Court of Appeal for Ontario held that Zimmerman and </w:t>
      </w:r>
      <w:proofErr w:type="spellStart"/>
      <w:r w:rsidR="00223419" w:rsidRPr="0021164D">
        <w:rPr>
          <w:rFonts w:ascii="Times New Roman" w:hAnsi="Times New Roman" w:cs="Times New Roman"/>
          <w:sz w:val="24"/>
          <w:szCs w:val="24"/>
        </w:rPr>
        <w:t>Courrier</w:t>
      </w:r>
      <w:proofErr w:type="spellEnd"/>
      <w:r w:rsidR="00223419" w:rsidRPr="0021164D">
        <w:rPr>
          <w:rFonts w:ascii="Times New Roman" w:hAnsi="Times New Roman" w:cs="Times New Roman"/>
          <w:sz w:val="24"/>
          <w:szCs w:val="24"/>
        </w:rPr>
        <w:t xml:space="preserve"> did not owe a duty of care to Childs, but for different reasons: the relationship between the hosts and the guest was not proximate enough to ground a duty of care</w:t>
      </w:r>
    </w:p>
    <w:p w:rsidR="0091025D" w:rsidRPr="0021164D" w:rsidRDefault="0091025D" w:rsidP="00EF671B">
      <w:pPr>
        <w:rPr>
          <w:rFonts w:ascii="Times New Roman" w:hAnsi="Times New Roman" w:cs="Times New Roman"/>
          <w:sz w:val="24"/>
          <w:szCs w:val="24"/>
        </w:rPr>
      </w:pPr>
      <w:r w:rsidRPr="0021164D">
        <w:rPr>
          <w:rFonts w:ascii="Times New Roman" w:hAnsi="Times New Roman" w:cs="Times New Roman"/>
          <w:sz w:val="24"/>
          <w:szCs w:val="24"/>
        </w:rPr>
        <w:t xml:space="preserve">Clarke v. Canada (RCMP): </w:t>
      </w:r>
      <w:r w:rsidR="00E36BFC" w:rsidRPr="0021164D">
        <w:rPr>
          <w:rFonts w:ascii="Times New Roman" w:hAnsi="Times New Roman" w:cs="Times New Roman"/>
          <w:sz w:val="24"/>
          <w:szCs w:val="24"/>
        </w:rPr>
        <w:t>In Clark v. Canada the plaintiff, an RCMP officer, sued for negligent and intentional infliction of nervous shock. She had been harassed by her male colleagues and suffered a mental crisis as a result. Her superiors failed to come to her assistance.</w:t>
      </w:r>
      <w:r w:rsidR="0097221B" w:rsidRPr="0021164D">
        <w:rPr>
          <w:rFonts w:ascii="Times New Roman" w:hAnsi="Times New Roman" w:cs="Times New Roman"/>
          <w:sz w:val="24"/>
          <w:szCs w:val="24"/>
        </w:rPr>
        <w:t xml:space="preserve"> The court ruled in favour of Clark, saying that her higher ranked officers had owed a duty of vicarious liability to her and thus awarded Clark a remedy of special damages. </w:t>
      </w:r>
    </w:p>
    <w:p w:rsidR="00172656" w:rsidRPr="0021164D" w:rsidRDefault="0091025D" w:rsidP="00172656">
      <w:pPr>
        <w:rPr>
          <w:rFonts w:ascii="Times New Roman" w:hAnsi="Times New Roman" w:cs="Times New Roman"/>
          <w:sz w:val="24"/>
          <w:szCs w:val="24"/>
        </w:rPr>
      </w:pPr>
      <w:proofErr w:type="spellStart"/>
      <w:r w:rsidRPr="0021164D">
        <w:rPr>
          <w:rFonts w:ascii="Times New Roman" w:hAnsi="Times New Roman" w:cs="Times New Roman"/>
          <w:sz w:val="24"/>
          <w:szCs w:val="24"/>
        </w:rPr>
        <w:t>Bazley</w:t>
      </w:r>
      <w:proofErr w:type="spellEnd"/>
      <w:r w:rsidRPr="0021164D">
        <w:rPr>
          <w:rFonts w:ascii="Times New Roman" w:hAnsi="Times New Roman" w:cs="Times New Roman"/>
          <w:sz w:val="24"/>
          <w:szCs w:val="24"/>
        </w:rPr>
        <w:t xml:space="preserve"> v. </w:t>
      </w:r>
      <w:proofErr w:type="spellStart"/>
      <w:r w:rsidRPr="0021164D">
        <w:rPr>
          <w:rFonts w:ascii="Times New Roman" w:hAnsi="Times New Roman" w:cs="Times New Roman"/>
          <w:sz w:val="24"/>
          <w:szCs w:val="24"/>
        </w:rPr>
        <w:t>Curay</w:t>
      </w:r>
      <w:proofErr w:type="spellEnd"/>
      <w:r w:rsidRPr="0021164D">
        <w:rPr>
          <w:rFonts w:ascii="Times New Roman" w:hAnsi="Times New Roman" w:cs="Times New Roman"/>
          <w:sz w:val="24"/>
          <w:szCs w:val="24"/>
        </w:rPr>
        <w:t xml:space="preserve">: </w:t>
      </w:r>
      <w:r w:rsidR="00172656" w:rsidRPr="0021164D">
        <w:rPr>
          <w:rFonts w:ascii="Times New Roman" w:hAnsi="Times New Roman" w:cs="Times New Roman"/>
          <w:sz w:val="24"/>
          <w:szCs w:val="24"/>
        </w:rPr>
        <w:t xml:space="preserve">is a Supreme Court of Canada decision on the topic of vicarious liability where the Court held that a non-profit organization may be held vicariously liable in tort law for sexual misconduct by one of its employees. The decision has widely influenced jurisprudence on vicarious liability outside of Canada. The Children's Foundation is a provincially funded, non-profit organization which operated two residential care facilities for children aged six to twelve. In April 1966, the foundation employed Leslie Charles Curry to work in its Vancouver home, where he was hired as a childcare counsellor practising "total intervention" in the lives of the children he was caring for. He worked there until March 1980, when the Foundation received a complaint. They investigated and discovered that Curry was in fact a paedophile and had been abusing the children under his care. In 1990 he was charged with 18 counts of gross indecency and two counts of buggery, and was convicted on all but one count, two of those convictions were in relation to the respondent in this case, Patrick Allen </w:t>
      </w:r>
      <w:proofErr w:type="spellStart"/>
      <w:r w:rsidR="00172656" w:rsidRPr="0021164D">
        <w:rPr>
          <w:rFonts w:ascii="Times New Roman" w:hAnsi="Times New Roman" w:cs="Times New Roman"/>
          <w:sz w:val="24"/>
          <w:szCs w:val="24"/>
        </w:rPr>
        <w:t>Bazley</w:t>
      </w:r>
      <w:proofErr w:type="spellEnd"/>
      <w:r w:rsidR="00172656" w:rsidRPr="0021164D">
        <w:rPr>
          <w:rFonts w:ascii="Times New Roman" w:hAnsi="Times New Roman" w:cs="Times New Roman"/>
          <w:sz w:val="24"/>
          <w:szCs w:val="24"/>
        </w:rPr>
        <w:t xml:space="preserve">. Curry died not long thereafter. In this case, </w:t>
      </w:r>
      <w:proofErr w:type="spellStart"/>
      <w:r w:rsidR="00172656" w:rsidRPr="0021164D">
        <w:rPr>
          <w:rFonts w:ascii="Times New Roman" w:hAnsi="Times New Roman" w:cs="Times New Roman"/>
          <w:sz w:val="24"/>
          <w:szCs w:val="24"/>
        </w:rPr>
        <w:t>Bazley</w:t>
      </w:r>
      <w:proofErr w:type="spellEnd"/>
      <w:r w:rsidR="00172656" w:rsidRPr="0021164D">
        <w:rPr>
          <w:rFonts w:ascii="Times New Roman" w:hAnsi="Times New Roman" w:cs="Times New Roman"/>
          <w:sz w:val="24"/>
          <w:szCs w:val="24"/>
        </w:rPr>
        <w:t xml:space="preserve"> sought damages from The Children's Foundation, alleging that they are vicariously liable for the misconduct of its employee. The main issue in this appeal was whether or not the Children's Foundation should be held vicariously liable for the actions of its </w:t>
      </w:r>
      <w:r w:rsidR="00172656" w:rsidRPr="0021164D">
        <w:rPr>
          <w:rFonts w:ascii="Times New Roman" w:hAnsi="Times New Roman" w:cs="Times New Roman"/>
          <w:sz w:val="24"/>
          <w:szCs w:val="24"/>
        </w:rPr>
        <w:lastRenderedPageBreak/>
        <w:t>employee. There were two questions before the court: May employers be held vicariously liable for sexual assaults on clients or persons within their care?; If so, should non-profit organizations be exempted from liability as a matter of policy?</w:t>
      </w:r>
    </w:p>
    <w:p w:rsidR="00E36BFC" w:rsidRPr="0021164D" w:rsidRDefault="00E36BFC" w:rsidP="00172656">
      <w:pPr>
        <w:rPr>
          <w:rFonts w:ascii="Times New Roman" w:hAnsi="Times New Roman" w:cs="Times New Roman"/>
          <w:sz w:val="24"/>
          <w:szCs w:val="24"/>
        </w:rPr>
      </w:pPr>
      <w:r w:rsidRPr="0021164D">
        <w:rPr>
          <w:rFonts w:ascii="Times New Roman" w:hAnsi="Times New Roman" w:cs="Times New Roman"/>
          <w:sz w:val="24"/>
          <w:szCs w:val="24"/>
        </w:rPr>
        <w:t>Vicarious liability: a form of secondary liability which stipulates that the responsibility of the superior for the acts of their subordinate, or, in a broader sense, the responsibility of any third party that had the "right, ability or duty to control" the activities of a violator.</w:t>
      </w:r>
    </w:p>
    <w:p w:rsidR="0091025D" w:rsidRPr="0021164D" w:rsidRDefault="0091025D"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Lecture ten: </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Damages: </w:t>
      </w:r>
    </w:p>
    <w:p w:rsidR="0091025D" w:rsidRPr="0021164D" w:rsidRDefault="0091025D" w:rsidP="0091025D">
      <w:pPr>
        <w:numPr>
          <w:ilvl w:val="0"/>
          <w:numId w:val="16"/>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the primary purpose of a remedy of damages is to compensate the injured party (the plaintiff) for the injury suffered through the defendants wrongful or negligent actions </w:t>
      </w:r>
    </w:p>
    <w:p w:rsidR="0091025D" w:rsidRPr="0021164D" w:rsidRDefault="0091025D" w:rsidP="0091025D">
      <w:pPr>
        <w:numPr>
          <w:ilvl w:val="0"/>
          <w:numId w:val="16"/>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in order to establish a remedy of damages, the plaintiff must establish a causal link between the injury he or she suffered and the defendants actions </w:t>
      </w:r>
    </w:p>
    <w:p w:rsidR="0091025D" w:rsidRPr="0021164D" w:rsidRDefault="0091025D" w:rsidP="00EF671B">
      <w:pPr>
        <w:numPr>
          <w:ilvl w:val="0"/>
          <w:numId w:val="16"/>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Punitive damages, unlike regular compensation damages are a remedy of financial compensation with an additional punishment. this comes to serve as an extra deterrent for the violating party to repeat the same dispute (specifically in cases where the defendant had enough financial capital in which they can afford to be taken to court again) </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Punishment: </w:t>
      </w:r>
    </w:p>
    <w:p w:rsidR="0091025D" w:rsidRPr="0021164D" w:rsidRDefault="0091025D" w:rsidP="0091025D">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a punishment is primarily found in criminal law hearings, the law of torts </w:t>
      </w:r>
    </w:p>
    <w:p w:rsidR="0091025D" w:rsidRPr="0021164D" w:rsidRDefault="0091025D" w:rsidP="0091025D">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The concept of deterrence has two key assumptions: the first is that specific punishments imposed on offenders will "deter" or prevent them from committing further crimes; the second is that fear of punishment will prevent others from committing similar crimes</w:t>
      </w:r>
    </w:p>
    <w:p w:rsidR="0091025D" w:rsidRPr="0021164D" w:rsidRDefault="0091025D" w:rsidP="0091025D">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The notion of deterrence underlines the criminal justice systems in most democratic societies, although punishment and incarceration traditionally have a variety of goals – including incapacitation, punishment, deterrence and rehabilitation. In the United States in particular (but also in other Western democracies), sentencing policy initiatives have often been enacted with the goal of enhancing the deterrent effect</w:t>
      </w:r>
    </w:p>
    <w:p w:rsidR="0091025D" w:rsidRPr="0021164D" w:rsidRDefault="0091025D" w:rsidP="0091025D">
      <w:pPr>
        <w:numPr>
          <w:ilvl w:val="0"/>
          <w:numId w:val="17"/>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Under the rubric of "getting tough on crime", policies such as "mandatory minimums", "truth in sentencing", and "three strikes and you’re out" have been designed to deter offending with the threat of substantial terms of imprisonment.</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Deterrence:</w:t>
      </w:r>
    </w:p>
    <w:p w:rsidR="0091025D" w:rsidRPr="0021164D" w:rsidRDefault="0091025D" w:rsidP="0091025D">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Deterrence is the use of punishment as a threat to deter people from offending </w:t>
      </w:r>
    </w:p>
    <w:p w:rsidR="0091025D" w:rsidRPr="0021164D" w:rsidRDefault="0091025D" w:rsidP="0091025D">
      <w:pPr>
        <w:numPr>
          <w:ilvl w:val="0"/>
          <w:numId w:val="18"/>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Deterrence is often contrasted with retributivism, which holds that punishment is a necessary consequence of a crime and should be calculated based on the gravity of the wrong done.</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Class action lawsuit: </w:t>
      </w:r>
    </w:p>
    <w:p w:rsidR="0091025D" w:rsidRPr="0021164D" w:rsidRDefault="0091025D" w:rsidP="0091025D">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lastRenderedPageBreak/>
        <w:t xml:space="preserve">Is a lawsuit in which a case is brought on behalf of the claimants. An individual claimant who sues as a representative claimant </w:t>
      </w:r>
    </w:p>
    <w:p w:rsidR="0091025D" w:rsidRPr="0021164D" w:rsidRDefault="0091025D" w:rsidP="0091025D">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In law, a class action, a class suit, or a representative action is a form of lawsuit in which a large group of people collectively bring a claim to court and/or in which a class of defendants is being sued</w:t>
      </w:r>
    </w:p>
    <w:p w:rsidR="0091025D" w:rsidRPr="0021164D" w:rsidRDefault="0091025D" w:rsidP="0091025D">
      <w:pPr>
        <w:numPr>
          <w:ilvl w:val="0"/>
          <w:numId w:val="19"/>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Class actions are commonly referred to as class action suits; however, this phrase is redundant as the historical distinction between "actions" at law and "suits" in equity is no longer recognized</w:t>
      </w:r>
    </w:p>
    <w:p w:rsidR="00075A58" w:rsidRPr="0021164D" w:rsidRDefault="00075A58" w:rsidP="0091025D">
      <w:pPr>
        <w:spacing w:after="0" w:line="240" w:lineRule="auto"/>
        <w:rPr>
          <w:rFonts w:ascii="Times New Roman" w:eastAsia="Times New Roman" w:hAnsi="Times New Roman" w:cs="Times New Roman"/>
          <w:color w:val="000000"/>
          <w:sz w:val="24"/>
          <w:szCs w:val="24"/>
          <w:lang w:eastAsia="en-CA"/>
        </w:rPr>
      </w:pPr>
    </w:p>
    <w:p w:rsidR="00075A58" w:rsidRPr="0021164D" w:rsidRDefault="00075A58" w:rsidP="0091025D">
      <w:pPr>
        <w:spacing w:after="0" w:line="240" w:lineRule="auto"/>
        <w:rPr>
          <w:rFonts w:ascii="Times New Roman" w:eastAsia="Times New Roman" w:hAnsi="Times New Roman" w:cs="Times New Roman"/>
          <w:color w:val="000000"/>
          <w:sz w:val="24"/>
          <w:szCs w:val="24"/>
          <w:lang w:eastAsia="en-CA"/>
        </w:rPr>
      </w:pPr>
    </w:p>
    <w:p w:rsidR="00075A58" w:rsidRPr="0021164D" w:rsidRDefault="00075A58" w:rsidP="0091025D">
      <w:pPr>
        <w:spacing w:after="0" w:line="240" w:lineRule="auto"/>
        <w:rPr>
          <w:rFonts w:ascii="Times New Roman" w:eastAsia="Times New Roman" w:hAnsi="Times New Roman" w:cs="Times New Roman"/>
          <w:color w:val="000000"/>
          <w:sz w:val="24"/>
          <w:szCs w:val="24"/>
          <w:lang w:eastAsia="en-CA"/>
        </w:rPr>
      </w:pP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Categories of damages: </w:t>
      </w:r>
    </w:p>
    <w:p w:rsidR="0091025D" w:rsidRPr="0021164D" w:rsidRDefault="0091025D" w:rsidP="0091025D">
      <w:pPr>
        <w:numPr>
          <w:ilvl w:val="0"/>
          <w:numId w:val="20"/>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pecuniary (financial damages): ex- loss of past or projected income, cost of care, any damages which can be measured easily financially </w:t>
      </w:r>
    </w:p>
    <w:p w:rsidR="0091025D" w:rsidRPr="0021164D" w:rsidRDefault="0091025D" w:rsidP="0091025D">
      <w:pPr>
        <w:numPr>
          <w:ilvl w:val="0"/>
          <w:numId w:val="20"/>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non-pecuniary (non-financial damages): pain and suffering, loss of amenities of life </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Alternatives to establishing liability in negligence accident compensation where injury caused through actions of another: </w:t>
      </w:r>
    </w:p>
    <w:p w:rsidR="0091025D" w:rsidRPr="0021164D" w:rsidRDefault="0091025D" w:rsidP="0091025D">
      <w:pPr>
        <w:numPr>
          <w:ilvl w:val="0"/>
          <w:numId w:val="21"/>
        </w:numPr>
        <w:spacing w:after="0"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no fault compensation system such as workers compensation</w:t>
      </w:r>
    </w:p>
    <w:p w:rsidR="0091025D" w:rsidRPr="0021164D" w:rsidRDefault="0091025D" w:rsidP="0091025D">
      <w:pPr>
        <w:numPr>
          <w:ilvl w:val="0"/>
          <w:numId w:val="22"/>
        </w:numPr>
        <w:spacing w:after="0"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a form of compensation which is for injuries caused within the workplace </w:t>
      </w:r>
    </w:p>
    <w:p w:rsidR="0091025D" w:rsidRPr="0021164D" w:rsidRDefault="0091025D" w:rsidP="0091025D">
      <w:pPr>
        <w:numPr>
          <w:ilvl w:val="0"/>
          <w:numId w:val="22"/>
        </w:numPr>
        <w:spacing w:after="0"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this form of compensation is designed for temporary income replacement </w:t>
      </w:r>
    </w:p>
    <w:p w:rsidR="0091025D" w:rsidRPr="0021164D" w:rsidRDefault="0091025D" w:rsidP="0091025D">
      <w:pPr>
        <w:numPr>
          <w:ilvl w:val="0"/>
          <w:numId w:val="23"/>
        </w:numPr>
        <w:spacing w:after="0"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out of court settlements agreement based on no acknowledgement of fault </w:t>
      </w:r>
    </w:p>
    <w:p w:rsidR="0091025D" w:rsidRPr="0021164D" w:rsidRDefault="0091025D" w:rsidP="0091025D">
      <w:pPr>
        <w:numPr>
          <w:ilvl w:val="0"/>
          <w:numId w:val="24"/>
        </w:numPr>
        <w:spacing w:after="0"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ex: if a lady sues McDonald's for being harmed by coffee, the company would see it in its benefit to settle outside of court and grant that lady more financial compensation if she would have settled in court. the reason for this is if the lady is successful in her case against McDonalds in court, it would set a precedent of liability that McDonald's is liable for everyone who may be harmed by their coffee beverage. if McDonald's is able to settle outside of court, the lady still </w:t>
      </w:r>
      <w:proofErr w:type="spellStart"/>
      <w:r w:rsidRPr="0021164D">
        <w:rPr>
          <w:rFonts w:ascii="Times New Roman" w:eastAsia="Times New Roman" w:hAnsi="Times New Roman" w:cs="Times New Roman"/>
          <w:color w:val="000000"/>
          <w:sz w:val="24"/>
          <w:szCs w:val="24"/>
          <w:lang w:eastAsia="en-CA"/>
        </w:rPr>
        <w:t>recieves</w:t>
      </w:r>
      <w:proofErr w:type="spellEnd"/>
      <w:r w:rsidRPr="0021164D">
        <w:rPr>
          <w:rFonts w:ascii="Times New Roman" w:eastAsia="Times New Roman" w:hAnsi="Times New Roman" w:cs="Times New Roman"/>
          <w:color w:val="000000"/>
          <w:sz w:val="24"/>
          <w:szCs w:val="24"/>
          <w:lang w:eastAsia="en-CA"/>
        </w:rPr>
        <w:t xml:space="preserve"> her compensation while McDonald's is no longer has to admit legal liability to anyone who is harmed by their coffee beverage for they now have ample opportunity to make a warning to future consumers that McDonalds is no longer to be held liable for any harm caused to the consumer through their coffee</w:t>
      </w:r>
    </w:p>
    <w:p w:rsidR="0091025D" w:rsidRPr="0021164D" w:rsidRDefault="0091025D" w:rsidP="0091025D">
      <w:pPr>
        <w:spacing w:after="0" w:line="240" w:lineRule="auto"/>
        <w:textAlignment w:val="baseline"/>
        <w:rPr>
          <w:rFonts w:ascii="Times New Roman" w:eastAsia="Times New Roman" w:hAnsi="Times New Roman" w:cs="Times New Roman"/>
          <w:color w:val="000000"/>
          <w:sz w:val="24"/>
          <w:szCs w:val="24"/>
          <w:u w:val="single"/>
          <w:lang w:eastAsia="en-CA"/>
        </w:rPr>
      </w:pPr>
    </w:p>
    <w:p w:rsidR="0091025D" w:rsidRPr="0021164D" w:rsidRDefault="0091025D" w:rsidP="0091025D">
      <w:pPr>
        <w:spacing w:after="0" w:line="240" w:lineRule="auto"/>
        <w:textAlignment w:val="baseline"/>
        <w:rPr>
          <w:rFonts w:ascii="Times New Roman" w:eastAsia="Times New Roman" w:hAnsi="Times New Roman" w:cs="Times New Roman"/>
          <w:color w:val="000000"/>
          <w:sz w:val="24"/>
          <w:szCs w:val="24"/>
          <w:u w:val="single"/>
          <w:lang w:eastAsia="en-CA"/>
        </w:rPr>
      </w:pPr>
      <w:r w:rsidRPr="0021164D">
        <w:rPr>
          <w:rFonts w:ascii="Times New Roman" w:eastAsia="Times New Roman" w:hAnsi="Times New Roman" w:cs="Times New Roman"/>
          <w:color w:val="000000"/>
          <w:sz w:val="24"/>
          <w:szCs w:val="24"/>
          <w:u w:val="single"/>
          <w:lang w:eastAsia="en-CA"/>
        </w:rPr>
        <w:t xml:space="preserve">Lecture eleven: </w:t>
      </w: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p>
    <w:p w:rsidR="0091025D" w:rsidRPr="0021164D" w:rsidRDefault="0091025D" w:rsidP="0091025D">
      <w:pPr>
        <w:spacing w:after="0" w:line="240" w:lineRule="auto"/>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Fiduciary obligations: </w:t>
      </w:r>
    </w:p>
    <w:p w:rsidR="0091025D" w:rsidRPr="0021164D" w:rsidRDefault="0091025D" w:rsidP="0091025D">
      <w:pPr>
        <w:numPr>
          <w:ilvl w:val="0"/>
          <w:numId w:val="2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are obligations which are enforceable in equity rather than common law </w:t>
      </w:r>
    </w:p>
    <w:p w:rsidR="0091025D" w:rsidRPr="0021164D" w:rsidRDefault="0091025D" w:rsidP="0091025D">
      <w:pPr>
        <w:numPr>
          <w:ilvl w:val="0"/>
          <w:numId w:val="2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 xml:space="preserve">obligations in general arise out of a relationship based on trust and confidence </w:t>
      </w:r>
    </w:p>
    <w:p w:rsidR="0091025D" w:rsidRPr="0021164D" w:rsidRDefault="00480D6D" w:rsidP="0091025D">
      <w:pPr>
        <w:numPr>
          <w:ilvl w:val="0"/>
          <w:numId w:val="25"/>
        </w:num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These</w:t>
      </w:r>
      <w:r w:rsidR="0091025D" w:rsidRPr="0021164D">
        <w:rPr>
          <w:rFonts w:ascii="Times New Roman" w:eastAsia="Times New Roman" w:hAnsi="Times New Roman" w:cs="Times New Roman"/>
          <w:color w:val="000000"/>
          <w:sz w:val="24"/>
          <w:szCs w:val="24"/>
          <w:lang w:eastAsia="en-CA"/>
        </w:rPr>
        <w:t xml:space="preserve"> obligations usually deal with asymmetrical relationships, usually structured between what is known as the trustee and the beneficiary. The trustee is required to carry out a certain obligation for the beneficiary is to benefit from such a transaction. when the trustee fails to carry out their agreed upon responsibility in the relationship, the beneficiary can sue the trustee for breach of fiduciary obligation</w:t>
      </w:r>
    </w:p>
    <w:p w:rsidR="00D77415" w:rsidRPr="0021164D" w:rsidRDefault="00D77415" w:rsidP="00D77415">
      <w:p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lastRenderedPageBreak/>
        <w:t xml:space="preserve">Guerin v. Canada [1984]: </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was a landmark </w:t>
      </w:r>
      <w:hyperlink r:id="rId5">
        <w:r w:rsidRPr="0021164D">
          <w:rPr>
            <w:rFonts w:ascii="Times New Roman" w:eastAsia="Arial" w:hAnsi="Times New Roman" w:cs="Times New Roman"/>
            <w:color w:val="000000"/>
            <w:sz w:val="24"/>
            <w:szCs w:val="24"/>
            <w:lang w:eastAsia="en-CA"/>
          </w:rPr>
          <w:t>Supreme Court of Canada</w:t>
        </w:r>
      </w:hyperlink>
      <w:r w:rsidRPr="0021164D">
        <w:rPr>
          <w:rFonts w:ascii="Times New Roman" w:eastAsia="Arial" w:hAnsi="Times New Roman" w:cs="Times New Roman"/>
          <w:color w:val="000000"/>
          <w:sz w:val="24"/>
          <w:szCs w:val="24"/>
          <w:lang w:eastAsia="en-CA"/>
        </w:rPr>
        <w:t xml:space="preserve"> decision on </w:t>
      </w:r>
      <w:hyperlink r:id="rId6">
        <w:r w:rsidRPr="0021164D">
          <w:rPr>
            <w:rFonts w:ascii="Times New Roman" w:eastAsia="Arial" w:hAnsi="Times New Roman" w:cs="Times New Roman"/>
            <w:color w:val="000000"/>
            <w:sz w:val="24"/>
            <w:szCs w:val="24"/>
            <w:lang w:eastAsia="en-CA"/>
          </w:rPr>
          <w:t>aboriginal</w:t>
        </w:r>
      </w:hyperlink>
      <w:r w:rsidRPr="0021164D">
        <w:rPr>
          <w:rFonts w:ascii="Times New Roman" w:eastAsia="Arial" w:hAnsi="Times New Roman" w:cs="Times New Roman"/>
          <w:color w:val="000000"/>
          <w:sz w:val="24"/>
          <w:szCs w:val="24"/>
          <w:lang w:eastAsia="en-CA"/>
        </w:rPr>
        <w:t xml:space="preserve"> rights where the Court first stated that the government has a fiduciary duty towards the First Nations of Canada and established </w:t>
      </w:r>
      <w:hyperlink r:id="rId7">
        <w:r w:rsidRPr="0021164D">
          <w:rPr>
            <w:rFonts w:ascii="Times New Roman" w:eastAsia="Arial" w:hAnsi="Times New Roman" w:cs="Times New Roman"/>
            <w:color w:val="000000"/>
            <w:sz w:val="24"/>
            <w:szCs w:val="24"/>
            <w:lang w:eastAsia="en-CA"/>
          </w:rPr>
          <w:t>aboriginal tit</w:t>
        </w:r>
      </w:hyperlink>
      <w:hyperlink r:id="rId8">
        <w:r w:rsidRPr="0021164D">
          <w:rPr>
            <w:rFonts w:ascii="Times New Roman" w:eastAsia="Arial" w:hAnsi="Times New Roman" w:cs="Times New Roman"/>
            <w:color w:val="000000"/>
            <w:sz w:val="24"/>
            <w:szCs w:val="24"/>
            <w:u w:val="single"/>
            <w:lang w:eastAsia="en-CA"/>
          </w:rPr>
          <w:t>le</w:t>
        </w:r>
      </w:hyperlink>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R. v. Guerin acknowledged that Canada (the federal government) has a trust-like relationship, or “fiduciary duty” towards First Nations, specifically in regards to reserve lands. In other words, the federal government has the obligation to act in their best interest</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In 1956, Musqueam held just over 400 acres of </w:t>
      </w:r>
      <w:hyperlink r:id="rId9">
        <w:r w:rsidRPr="0021164D">
          <w:rPr>
            <w:rFonts w:ascii="Times New Roman" w:eastAsia="Arial" w:hAnsi="Times New Roman" w:cs="Times New Roman"/>
            <w:color w:val="000000"/>
            <w:sz w:val="24"/>
            <w:szCs w:val="24"/>
            <w:u w:val="single"/>
            <w:lang w:eastAsia="en-CA"/>
          </w:rPr>
          <w:t>reserve land</w:t>
        </w:r>
      </w:hyperlink>
      <w:r w:rsidRPr="0021164D">
        <w:rPr>
          <w:rFonts w:ascii="Times New Roman" w:eastAsia="Arial" w:hAnsi="Times New Roman" w:cs="Times New Roman"/>
          <w:color w:val="000000"/>
          <w:sz w:val="24"/>
          <w:szCs w:val="24"/>
          <w:lang w:eastAsia="en-CA"/>
        </w:rPr>
        <w:t xml:space="preserve"> overlooking the Fraser River in Vancouver’s prestigious Southlands neighbourhood.  At that time, the Shaughnessy Golf and Country Club was looking for land for its golf course. The Club approached the Department of Indian Affairs (DIA) in the hopes of leasing 162 prime acres of the Musqueam reserve. The DIA obtained Musqueam consent by assuring them that the band would receive revenue from the lease. According to Musqueam, the band was denied legal representation</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 They consented to the deal regardless. After the DIA obtained their consent, DIA representatives re-negotiated the deal with the Club and leased the land on substantially different terms than what Musqueam had agreed to.</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Musqueam had been told that they would profit off of the 75-year lease, with rents being adjusted to fair market rates every decade. Unbeknownst to the band, however, the deal was re-negotiated to allow the Club to only pay what amounted to 10% of the fair market rent for the land.</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Chief Justices Wilson and Dickson interpreted this fiduciary duty as stemming from an Aboriginal interest and title to the land, and the Crown’s relationship to Aboriginal peoples. Wilson understood this relationship to be characterized by Section 18 of the </w:t>
      </w:r>
      <w:hyperlink r:id="rId10">
        <w:r w:rsidRPr="0021164D">
          <w:rPr>
            <w:rFonts w:ascii="Times New Roman" w:eastAsia="Arial" w:hAnsi="Times New Roman" w:cs="Times New Roman"/>
            <w:color w:val="000000"/>
            <w:sz w:val="24"/>
            <w:szCs w:val="24"/>
            <w:lang w:eastAsia="en-CA"/>
          </w:rPr>
          <w:t>Indian Act</w:t>
        </w:r>
      </w:hyperlink>
      <w:r w:rsidRPr="0021164D">
        <w:rPr>
          <w:rFonts w:ascii="Times New Roman" w:eastAsia="Arial" w:hAnsi="Times New Roman" w:cs="Times New Roman"/>
          <w:color w:val="000000"/>
          <w:sz w:val="24"/>
          <w:szCs w:val="24"/>
          <w:lang w:eastAsia="en-CA"/>
        </w:rPr>
        <w:t xml:space="preserve">, which specifies that reserves are held by the Crown “for the use and benefit of the respective bands for which they are set apart,” and that “the Governor in Council may determine whether any purpose for which lands in a reserve are used or are to be used is for the </w:t>
      </w:r>
      <w:r w:rsidRPr="0021164D">
        <w:rPr>
          <w:rFonts w:ascii="Times New Roman" w:eastAsia="Arial" w:hAnsi="Times New Roman" w:cs="Times New Roman"/>
          <w:i/>
          <w:color w:val="000000"/>
          <w:sz w:val="24"/>
          <w:szCs w:val="24"/>
          <w:lang w:eastAsia="en-CA"/>
        </w:rPr>
        <w:t>use and benefit of the band</w:t>
      </w:r>
      <w:r w:rsidRPr="0021164D">
        <w:rPr>
          <w:rFonts w:ascii="Times New Roman" w:eastAsia="Arial" w:hAnsi="Times New Roman" w:cs="Times New Roman"/>
          <w:color w:val="000000"/>
          <w:sz w:val="24"/>
          <w:szCs w:val="24"/>
          <w:lang w:eastAsia="en-CA"/>
        </w:rPr>
        <w:t>"4</w:t>
      </w:r>
      <w:r w:rsidRPr="0021164D">
        <w:rPr>
          <w:rFonts w:ascii="Times New Roman" w:eastAsia="Arial" w:hAnsi="Times New Roman" w:cs="Times New Roman"/>
          <w:i/>
          <w:color w:val="000000"/>
          <w:sz w:val="24"/>
          <w:szCs w:val="24"/>
          <w:lang w:eastAsia="en-CA"/>
        </w:rPr>
        <w:t xml:space="preserve"> </w:t>
      </w:r>
      <w:r w:rsidRPr="0021164D">
        <w:rPr>
          <w:rFonts w:ascii="Times New Roman" w:eastAsia="Arial" w:hAnsi="Times New Roman" w:cs="Times New Roman"/>
          <w:color w:val="000000"/>
          <w:sz w:val="24"/>
          <w:szCs w:val="24"/>
          <w:lang w:eastAsia="en-CA"/>
        </w:rPr>
        <w:t>(emphasis added)</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Thus the government demonstrated it did not act in Musqueam best interest by not consulting them about the revised terms of the lease.</w:t>
      </w:r>
    </w:p>
    <w:p w:rsidR="00D77415" w:rsidRPr="0021164D" w:rsidRDefault="00D77415" w:rsidP="00D77415">
      <w:pPr>
        <w:numPr>
          <w:ilvl w:val="0"/>
          <w:numId w:val="26"/>
        </w:num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The concept of “fiduciary duty” has gone on to inform other Aboriginal rights cases as well as the protection of Aboriginal rights under </w:t>
      </w:r>
      <w:hyperlink r:id="rId11">
        <w:r w:rsidRPr="0021164D">
          <w:rPr>
            <w:rFonts w:ascii="Times New Roman" w:eastAsia="Arial" w:hAnsi="Times New Roman" w:cs="Times New Roman"/>
            <w:color w:val="000000"/>
            <w:sz w:val="24"/>
            <w:szCs w:val="24"/>
            <w:lang w:eastAsia="en-CA"/>
          </w:rPr>
          <w:t>Section 35</w:t>
        </w:r>
      </w:hyperlink>
      <w:r w:rsidRPr="0021164D">
        <w:rPr>
          <w:rFonts w:ascii="Times New Roman" w:eastAsia="Arial" w:hAnsi="Times New Roman" w:cs="Times New Roman"/>
          <w:color w:val="000000"/>
          <w:sz w:val="24"/>
          <w:szCs w:val="24"/>
          <w:lang w:eastAsia="en-CA"/>
        </w:rPr>
        <w:t xml:space="preserve"> of the Canadian Constitution</w:t>
      </w:r>
    </w:p>
    <w:p w:rsidR="0097221B" w:rsidRPr="0021164D" w:rsidRDefault="0097221B" w:rsidP="00D77415">
      <w:pPr>
        <w:spacing w:after="0"/>
        <w:rPr>
          <w:rFonts w:ascii="Times New Roman" w:eastAsia="Arial" w:hAnsi="Times New Roman" w:cs="Times New Roman"/>
          <w:color w:val="000000"/>
          <w:sz w:val="24"/>
          <w:szCs w:val="24"/>
          <w:lang w:eastAsia="en-CA"/>
        </w:rPr>
      </w:pPr>
    </w:p>
    <w:p w:rsidR="00D77415" w:rsidRPr="0021164D" w:rsidRDefault="00D77415" w:rsidP="0082503E">
      <w:p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 xml:space="preserve">Canadian Aero Services v. O’Malley: </w:t>
      </w:r>
      <w:r w:rsidR="0082503E" w:rsidRPr="0021164D">
        <w:rPr>
          <w:rFonts w:ascii="Times New Roman" w:eastAsia="Arial" w:hAnsi="Times New Roman" w:cs="Times New Roman"/>
          <w:color w:val="000000"/>
          <w:sz w:val="24"/>
          <w:szCs w:val="24"/>
          <w:lang w:eastAsia="en-CA"/>
        </w:rPr>
        <w:t xml:space="preserve">is a leading civil case decided by the Supreme Court of Canada on corporate director and officer liability. Canadian Aero Service Limited ("Canaero") was a company whose main business was topographical mapping and geophysical exploration. O'Malley and </w:t>
      </w:r>
      <w:proofErr w:type="spellStart"/>
      <w:r w:rsidR="0082503E" w:rsidRPr="0021164D">
        <w:rPr>
          <w:rFonts w:ascii="Times New Roman" w:eastAsia="Arial" w:hAnsi="Times New Roman" w:cs="Times New Roman"/>
          <w:color w:val="000000"/>
          <w:sz w:val="24"/>
          <w:szCs w:val="24"/>
          <w:lang w:eastAsia="en-CA"/>
        </w:rPr>
        <w:t>Zarzycki</w:t>
      </w:r>
      <w:proofErr w:type="spellEnd"/>
      <w:r w:rsidR="0082503E" w:rsidRPr="0021164D">
        <w:rPr>
          <w:rFonts w:ascii="Times New Roman" w:eastAsia="Arial" w:hAnsi="Times New Roman" w:cs="Times New Roman"/>
          <w:color w:val="000000"/>
          <w:sz w:val="24"/>
          <w:szCs w:val="24"/>
          <w:lang w:eastAsia="en-CA"/>
        </w:rPr>
        <w:t xml:space="preserve"> were senior officers of Canaero, and, together with Wells, were directors of the company. After the acquisition of </w:t>
      </w:r>
      <w:proofErr w:type="spellStart"/>
      <w:r w:rsidR="0082503E" w:rsidRPr="0021164D">
        <w:rPr>
          <w:rFonts w:ascii="Times New Roman" w:eastAsia="Arial" w:hAnsi="Times New Roman" w:cs="Times New Roman"/>
          <w:color w:val="000000"/>
          <w:sz w:val="24"/>
          <w:szCs w:val="24"/>
          <w:lang w:eastAsia="en-CA"/>
        </w:rPr>
        <w:t>Canaero's</w:t>
      </w:r>
      <w:proofErr w:type="spellEnd"/>
      <w:r w:rsidR="0082503E" w:rsidRPr="0021164D">
        <w:rPr>
          <w:rFonts w:ascii="Times New Roman" w:eastAsia="Arial" w:hAnsi="Times New Roman" w:cs="Times New Roman"/>
          <w:color w:val="000000"/>
          <w:sz w:val="24"/>
          <w:szCs w:val="24"/>
          <w:lang w:eastAsia="en-CA"/>
        </w:rPr>
        <w:t xml:space="preserve"> parent by Litton Industries in 1961, Wells </w:t>
      </w:r>
      <w:r w:rsidR="0082503E" w:rsidRPr="0021164D">
        <w:rPr>
          <w:rFonts w:ascii="Times New Roman" w:eastAsia="Arial" w:hAnsi="Times New Roman" w:cs="Times New Roman"/>
          <w:color w:val="000000"/>
          <w:sz w:val="24"/>
          <w:szCs w:val="24"/>
          <w:lang w:eastAsia="en-CA"/>
        </w:rPr>
        <w:lastRenderedPageBreak/>
        <w:t xml:space="preserve">resigned as director in February 1965. O'Malley and </w:t>
      </w:r>
      <w:proofErr w:type="spellStart"/>
      <w:r w:rsidR="0082503E" w:rsidRPr="0021164D">
        <w:rPr>
          <w:rFonts w:ascii="Times New Roman" w:eastAsia="Arial" w:hAnsi="Times New Roman" w:cs="Times New Roman"/>
          <w:color w:val="000000"/>
          <w:sz w:val="24"/>
          <w:szCs w:val="24"/>
          <w:lang w:eastAsia="en-CA"/>
        </w:rPr>
        <w:t>Zarzycki</w:t>
      </w:r>
      <w:proofErr w:type="spellEnd"/>
      <w:r w:rsidR="0082503E" w:rsidRPr="0021164D">
        <w:rPr>
          <w:rFonts w:ascii="Times New Roman" w:eastAsia="Arial" w:hAnsi="Times New Roman" w:cs="Times New Roman"/>
          <w:color w:val="000000"/>
          <w:sz w:val="24"/>
          <w:szCs w:val="24"/>
          <w:lang w:eastAsia="en-CA"/>
        </w:rPr>
        <w:t xml:space="preserve"> resigned from their positions in August 1966. Wells was aware the latter were discontented at Canaero by reason of the limitations upon their authority and the scope of independent action imposed by the Litton Company, and they also feared loss of position if Canaero should fail to get contracts. Prior to their resignation, at the suggestion of Wells, the three decided to form a business venture in the same fields as Canaero. Canaero filed a claim against the three on the basis that the defendants had improperly taken the fruits of a corporate opportunity in which Canaero had a prior and continuing interest. In the Supreme Court of Ontario, it was held that, while O'Malley and </w:t>
      </w:r>
      <w:proofErr w:type="spellStart"/>
      <w:r w:rsidR="0082503E" w:rsidRPr="0021164D">
        <w:rPr>
          <w:rFonts w:ascii="Times New Roman" w:eastAsia="Arial" w:hAnsi="Times New Roman" w:cs="Times New Roman"/>
          <w:color w:val="000000"/>
          <w:sz w:val="24"/>
          <w:szCs w:val="24"/>
          <w:lang w:eastAsia="en-CA"/>
        </w:rPr>
        <w:t>Zarzycki</w:t>
      </w:r>
      <w:proofErr w:type="spellEnd"/>
      <w:r w:rsidR="0082503E" w:rsidRPr="0021164D">
        <w:rPr>
          <w:rFonts w:ascii="Times New Roman" w:eastAsia="Arial" w:hAnsi="Times New Roman" w:cs="Times New Roman"/>
          <w:color w:val="000000"/>
          <w:sz w:val="24"/>
          <w:szCs w:val="24"/>
          <w:lang w:eastAsia="en-CA"/>
        </w:rPr>
        <w:t>, as corporate officers, had fiduciary obligations to Canaero, such obligations did not apply in this case.</w:t>
      </w:r>
    </w:p>
    <w:p w:rsidR="00D77415" w:rsidRPr="0021164D" w:rsidRDefault="00D77415" w:rsidP="00D77415">
      <w:pPr>
        <w:spacing w:after="0"/>
        <w:rPr>
          <w:rFonts w:ascii="Times New Roman" w:eastAsia="Arial" w:hAnsi="Times New Roman" w:cs="Times New Roman"/>
          <w:color w:val="000000"/>
          <w:sz w:val="24"/>
          <w:szCs w:val="24"/>
          <w:lang w:eastAsia="en-CA"/>
        </w:rPr>
      </w:pPr>
    </w:p>
    <w:p w:rsidR="00D77415" w:rsidRPr="0021164D" w:rsidRDefault="00D77415" w:rsidP="0082503E">
      <w:pPr>
        <w:spacing w:after="0"/>
        <w:rPr>
          <w:rFonts w:ascii="Times New Roman" w:eastAsia="Arial" w:hAnsi="Times New Roman" w:cs="Times New Roman"/>
          <w:color w:val="000000"/>
          <w:sz w:val="24"/>
          <w:szCs w:val="24"/>
          <w:lang w:eastAsia="en-CA"/>
        </w:rPr>
      </w:pPr>
      <w:proofErr w:type="spellStart"/>
      <w:r w:rsidRPr="0021164D">
        <w:rPr>
          <w:rFonts w:ascii="Times New Roman" w:eastAsia="Arial" w:hAnsi="Times New Roman" w:cs="Times New Roman"/>
          <w:color w:val="000000"/>
          <w:sz w:val="24"/>
          <w:szCs w:val="24"/>
          <w:lang w:eastAsia="en-CA"/>
        </w:rPr>
        <w:t>Norberg</w:t>
      </w:r>
      <w:proofErr w:type="spellEnd"/>
      <w:r w:rsidRPr="0021164D">
        <w:rPr>
          <w:rFonts w:ascii="Times New Roman" w:eastAsia="Arial" w:hAnsi="Times New Roman" w:cs="Times New Roman"/>
          <w:color w:val="000000"/>
          <w:sz w:val="24"/>
          <w:szCs w:val="24"/>
          <w:lang w:eastAsia="en-CA"/>
        </w:rPr>
        <w:t xml:space="preserve"> v. </w:t>
      </w:r>
      <w:proofErr w:type="spellStart"/>
      <w:r w:rsidR="0082503E" w:rsidRPr="0021164D">
        <w:rPr>
          <w:rFonts w:ascii="Times New Roman" w:eastAsia="Arial" w:hAnsi="Times New Roman" w:cs="Times New Roman"/>
          <w:color w:val="000000"/>
          <w:sz w:val="24"/>
          <w:szCs w:val="24"/>
          <w:lang w:eastAsia="en-CA"/>
        </w:rPr>
        <w:t>Wynrib</w:t>
      </w:r>
      <w:proofErr w:type="spellEnd"/>
      <w:r w:rsidRPr="0021164D">
        <w:rPr>
          <w:rFonts w:ascii="Times New Roman" w:eastAsia="Arial" w:hAnsi="Times New Roman" w:cs="Times New Roman"/>
          <w:color w:val="000000"/>
          <w:sz w:val="24"/>
          <w:szCs w:val="24"/>
          <w:lang w:eastAsia="en-CA"/>
        </w:rPr>
        <w:t>:</w:t>
      </w:r>
      <w:r w:rsidR="0082503E" w:rsidRPr="0021164D">
        <w:rPr>
          <w:rFonts w:ascii="Times New Roman" w:eastAsia="Arial" w:hAnsi="Times New Roman" w:cs="Times New Roman"/>
          <w:color w:val="000000"/>
          <w:sz w:val="24"/>
          <w:szCs w:val="24"/>
          <w:lang w:eastAsia="en-CA"/>
        </w:rPr>
        <w:t xml:space="preserve"> is a leading Supreme Court of Canada decision on the fiduciary duty between doctors and patients, and on the limits of consent as a defense in sexual assault. Laura </w:t>
      </w:r>
      <w:proofErr w:type="spellStart"/>
      <w:r w:rsidR="0082503E" w:rsidRPr="0021164D">
        <w:rPr>
          <w:rFonts w:ascii="Times New Roman" w:eastAsia="Arial" w:hAnsi="Times New Roman" w:cs="Times New Roman"/>
          <w:color w:val="000000"/>
          <w:sz w:val="24"/>
          <w:szCs w:val="24"/>
          <w:lang w:eastAsia="en-CA"/>
        </w:rPr>
        <w:t>Norberg</w:t>
      </w:r>
      <w:proofErr w:type="spellEnd"/>
      <w:r w:rsidR="0082503E" w:rsidRPr="0021164D">
        <w:rPr>
          <w:rFonts w:ascii="Times New Roman" w:eastAsia="Arial" w:hAnsi="Times New Roman" w:cs="Times New Roman"/>
          <w:color w:val="000000"/>
          <w:sz w:val="24"/>
          <w:szCs w:val="24"/>
          <w:lang w:eastAsia="en-CA"/>
        </w:rPr>
        <w:t xml:space="preserve"> had severe pains in her jaw and frequent headaches in 1978.</w:t>
      </w:r>
      <w:r w:rsidR="003E11B4" w:rsidRPr="0021164D">
        <w:rPr>
          <w:rFonts w:ascii="Times New Roman" w:eastAsia="Arial" w:hAnsi="Times New Roman" w:cs="Times New Roman"/>
          <w:color w:val="000000"/>
          <w:sz w:val="24"/>
          <w:szCs w:val="24"/>
          <w:lang w:eastAsia="en-CA"/>
        </w:rPr>
        <w:t xml:space="preserve"> To remedy this problem, her sister offered her </w:t>
      </w:r>
      <w:proofErr w:type="spellStart"/>
      <w:r w:rsidR="003E11B4" w:rsidRPr="0021164D">
        <w:rPr>
          <w:rFonts w:ascii="Times New Roman" w:eastAsia="Arial" w:hAnsi="Times New Roman" w:cs="Times New Roman"/>
          <w:color w:val="000000"/>
          <w:sz w:val="24"/>
          <w:szCs w:val="24"/>
          <w:lang w:eastAsia="en-CA"/>
        </w:rPr>
        <w:t>Fiorinal</w:t>
      </w:r>
      <w:proofErr w:type="spellEnd"/>
      <w:r w:rsidR="0082503E" w:rsidRPr="0021164D">
        <w:rPr>
          <w:rFonts w:ascii="Times New Roman" w:eastAsia="Arial" w:hAnsi="Times New Roman" w:cs="Times New Roman"/>
          <w:color w:val="000000"/>
          <w:sz w:val="24"/>
          <w:szCs w:val="24"/>
          <w:lang w:eastAsia="en-CA"/>
        </w:rPr>
        <w:t xml:space="preserve"> </w:t>
      </w:r>
      <w:r w:rsidR="003E11B4" w:rsidRPr="0021164D">
        <w:rPr>
          <w:rFonts w:ascii="Times New Roman" w:eastAsia="Arial" w:hAnsi="Times New Roman" w:cs="Times New Roman"/>
          <w:color w:val="000000"/>
          <w:sz w:val="24"/>
          <w:szCs w:val="24"/>
          <w:lang w:eastAsia="en-CA"/>
        </w:rPr>
        <w:t>.</w:t>
      </w:r>
      <w:r w:rsidR="0082503E" w:rsidRPr="0021164D">
        <w:rPr>
          <w:rFonts w:ascii="Times New Roman" w:eastAsia="Arial" w:hAnsi="Times New Roman" w:cs="Times New Roman"/>
          <w:color w:val="000000"/>
          <w:sz w:val="24"/>
          <w:szCs w:val="24"/>
          <w:lang w:eastAsia="en-CA"/>
        </w:rPr>
        <w:t xml:space="preserve">After the source of her pain, an abscessed tooth, was found and treated, her addiction to painkillers remained. After breaking her ankle in 1981, she found a doctor who would prescribe </w:t>
      </w:r>
      <w:proofErr w:type="spellStart"/>
      <w:r w:rsidR="0082503E" w:rsidRPr="0021164D">
        <w:rPr>
          <w:rFonts w:ascii="Times New Roman" w:eastAsia="Arial" w:hAnsi="Times New Roman" w:cs="Times New Roman"/>
          <w:color w:val="000000"/>
          <w:sz w:val="24"/>
          <w:szCs w:val="24"/>
          <w:lang w:eastAsia="en-CA"/>
        </w:rPr>
        <w:t>Fiorinal</w:t>
      </w:r>
      <w:proofErr w:type="spellEnd"/>
      <w:r w:rsidR="0082503E" w:rsidRPr="0021164D">
        <w:rPr>
          <w:rFonts w:ascii="Times New Roman" w:eastAsia="Arial" w:hAnsi="Times New Roman" w:cs="Times New Roman"/>
          <w:color w:val="000000"/>
          <w:sz w:val="24"/>
          <w:szCs w:val="24"/>
          <w:lang w:eastAsia="en-CA"/>
        </w:rPr>
        <w:t xml:space="preserve">. After this doctor retired, she sought out another who would provide the drug. Starting in 1982, she began seeing Dr. </w:t>
      </w:r>
      <w:proofErr w:type="spellStart"/>
      <w:r w:rsidR="0082503E" w:rsidRPr="0021164D">
        <w:rPr>
          <w:rFonts w:ascii="Times New Roman" w:eastAsia="Arial" w:hAnsi="Times New Roman" w:cs="Times New Roman"/>
          <w:color w:val="000000"/>
          <w:sz w:val="24"/>
          <w:szCs w:val="24"/>
          <w:lang w:eastAsia="en-CA"/>
        </w:rPr>
        <w:t>Wynrib</w:t>
      </w:r>
      <w:proofErr w:type="spellEnd"/>
      <w:r w:rsidR="0082503E" w:rsidRPr="0021164D">
        <w:rPr>
          <w:rFonts w:ascii="Times New Roman" w:eastAsia="Arial" w:hAnsi="Times New Roman" w:cs="Times New Roman"/>
          <w:color w:val="000000"/>
          <w:sz w:val="24"/>
          <w:szCs w:val="24"/>
          <w:lang w:eastAsia="en-CA"/>
        </w:rPr>
        <w:t xml:space="preserve">, an elderly physician, and he began giving </w:t>
      </w:r>
      <w:proofErr w:type="spellStart"/>
      <w:r w:rsidR="0082503E" w:rsidRPr="0021164D">
        <w:rPr>
          <w:rFonts w:ascii="Times New Roman" w:eastAsia="Arial" w:hAnsi="Times New Roman" w:cs="Times New Roman"/>
          <w:color w:val="000000"/>
          <w:sz w:val="24"/>
          <w:szCs w:val="24"/>
          <w:lang w:eastAsia="en-CA"/>
        </w:rPr>
        <w:t>Norberg</w:t>
      </w:r>
      <w:proofErr w:type="spellEnd"/>
      <w:r w:rsidR="0082503E" w:rsidRPr="0021164D">
        <w:rPr>
          <w:rFonts w:ascii="Times New Roman" w:eastAsia="Arial" w:hAnsi="Times New Roman" w:cs="Times New Roman"/>
          <w:color w:val="000000"/>
          <w:sz w:val="24"/>
          <w:szCs w:val="24"/>
          <w:lang w:eastAsia="en-CA"/>
        </w:rPr>
        <w:t xml:space="preserve"> </w:t>
      </w:r>
      <w:proofErr w:type="spellStart"/>
      <w:r w:rsidR="0082503E" w:rsidRPr="0021164D">
        <w:rPr>
          <w:rFonts w:ascii="Times New Roman" w:eastAsia="Arial" w:hAnsi="Times New Roman" w:cs="Times New Roman"/>
          <w:color w:val="000000"/>
          <w:sz w:val="24"/>
          <w:szCs w:val="24"/>
          <w:lang w:eastAsia="en-CA"/>
        </w:rPr>
        <w:t>Fiorinal</w:t>
      </w:r>
      <w:proofErr w:type="spellEnd"/>
      <w:r w:rsidR="0082503E" w:rsidRPr="0021164D">
        <w:rPr>
          <w:rFonts w:ascii="Times New Roman" w:eastAsia="Arial" w:hAnsi="Times New Roman" w:cs="Times New Roman"/>
          <w:color w:val="000000"/>
          <w:sz w:val="24"/>
          <w:szCs w:val="24"/>
          <w:lang w:eastAsia="en-CA"/>
        </w:rPr>
        <w:t xml:space="preserve"> under the pretext of an ankle injury. In exchange, </w:t>
      </w:r>
      <w:proofErr w:type="spellStart"/>
      <w:r w:rsidR="0082503E" w:rsidRPr="0021164D">
        <w:rPr>
          <w:rFonts w:ascii="Times New Roman" w:eastAsia="Arial" w:hAnsi="Times New Roman" w:cs="Times New Roman"/>
          <w:color w:val="000000"/>
          <w:sz w:val="24"/>
          <w:szCs w:val="24"/>
          <w:lang w:eastAsia="en-CA"/>
        </w:rPr>
        <w:t>Wynrib</w:t>
      </w:r>
      <w:proofErr w:type="spellEnd"/>
      <w:r w:rsidR="0082503E" w:rsidRPr="0021164D">
        <w:rPr>
          <w:rFonts w:ascii="Times New Roman" w:eastAsia="Arial" w:hAnsi="Times New Roman" w:cs="Times New Roman"/>
          <w:color w:val="000000"/>
          <w:sz w:val="24"/>
          <w:szCs w:val="24"/>
          <w:lang w:eastAsia="en-CA"/>
        </w:rPr>
        <w:t xml:space="preserve"> demanded sexual favours. She eventually brought an action against him for sexual assault.</w:t>
      </w:r>
      <w:r w:rsidR="003E11B4" w:rsidRPr="0021164D">
        <w:rPr>
          <w:rFonts w:ascii="Times New Roman" w:eastAsia="Arial" w:hAnsi="Times New Roman" w:cs="Times New Roman"/>
          <w:color w:val="000000"/>
          <w:sz w:val="24"/>
          <w:szCs w:val="24"/>
          <w:lang w:eastAsia="en-CA"/>
        </w:rPr>
        <w:t xml:space="preserve"> There are two main issues in this case. First, the sexual assault falls under the tort of battery. Second, can the relationship between </w:t>
      </w:r>
      <w:proofErr w:type="spellStart"/>
      <w:r w:rsidR="003E11B4" w:rsidRPr="0021164D">
        <w:rPr>
          <w:rFonts w:ascii="Times New Roman" w:eastAsia="Arial" w:hAnsi="Times New Roman" w:cs="Times New Roman"/>
          <w:color w:val="000000"/>
          <w:sz w:val="24"/>
          <w:szCs w:val="24"/>
          <w:lang w:eastAsia="en-CA"/>
        </w:rPr>
        <w:t>Norberg</w:t>
      </w:r>
      <w:proofErr w:type="spellEnd"/>
      <w:r w:rsidR="003E11B4" w:rsidRPr="0021164D">
        <w:rPr>
          <w:rFonts w:ascii="Times New Roman" w:eastAsia="Arial" w:hAnsi="Times New Roman" w:cs="Times New Roman"/>
          <w:color w:val="000000"/>
          <w:sz w:val="24"/>
          <w:szCs w:val="24"/>
          <w:lang w:eastAsia="en-CA"/>
        </w:rPr>
        <w:t xml:space="preserve"> and </w:t>
      </w:r>
      <w:proofErr w:type="spellStart"/>
      <w:r w:rsidR="003E11B4" w:rsidRPr="0021164D">
        <w:rPr>
          <w:rFonts w:ascii="Times New Roman" w:eastAsia="Arial" w:hAnsi="Times New Roman" w:cs="Times New Roman"/>
          <w:color w:val="000000"/>
          <w:sz w:val="24"/>
          <w:szCs w:val="24"/>
          <w:lang w:eastAsia="en-CA"/>
        </w:rPr>
        <w:t>Wynrib</w:t>
      </w:r>
      <w:proofErr w:type="spellEnd"/>
      <w:r w:rsidR="003E11B4" w:rsidRPr="0021164D">
        <w:rPr>
          <w:rFonts w:ascii="Times New Roman" w:eastAsia="Arial" w:hAnsi="Times New Roman" w:cs="Times New Roman"/>
          <w:color w:val="000000"/>
          <w:sz w:val="24"/>
          <w:szCs w:val="24"/>
          <w:lang w:eastAsia="en-CA"/>
        </w:rPr>
        <w:t xml:space="preserve"> be characterized as fiduciary and therefore give rise to a fiduciary obligation? The British Columbia Court of Appeal dismissed the case on the basis that she consented. The case was given leave to the Supreme Court. The Supreme Court awarded punitive damages on behalf of </w:t>
      </w:r>
      <w:proofErr w:type="spellStart"/>
      <w:r w:rsidR="003E11B4" w:rsidRPr="0021164D">
        <w:rPr>
          <w:rFonts w:ascii="Times New Roman" w:eastAsia="Arial" w:hAnsi="Times New Roman" w:cs="Times New Roman"/>
          <w:color w:val="000000"/>
          <w:sz w:val="24"/>
          <w:szCs w:val="24"/>
          <w:lang w:eastAsia="en-CA"/>
        </w:rPr>
        <w:t>Norberg</w:t>
      </w:r>
      <w:proofErr w:type="spellEnd"/>
      <w:r w:rsidR="003E11B4" w:rsidRPr="0021164D">
        <w:rPr>
          <w:rFonts w:ascii="Times New Roman" w:eastAsia="Arial" w:hAnsi="Times New Roman" w:cs="Times New Roman"/>
          <w:color w:val="000000"/>
          <w:sz w:val="24"/>
          <w:szCs w:val="24"/>
          <w:lang w:eastAsia="en-CA"/>
        </w:rPr>
        <w:t>, but stops short of recognizing a fiduciary duty. The majority does not believe that sex is a power that can be transferred. Even though the majority discusses consent and its vitiation, they still treat the facts as an exchange between two parties.</w:t>
      </w:r>
    </w:p>
    <w:p w:rsidR="00D77415" w:rsidRPr="0021164D" w:rsidRDefault="00D77415" w:rsidP="00D77415">
      <w:pPr>
        <w:spacing w:after="0"/>
        <w:rPr>
          <w:rFonts w:ascii="Times New Roman" w:eastAsia="Arial" w:hAnsi="Times New Roman" w:cs="Times New Roman"/>
          <w:color w:val="000000"/>
          <w:sz w:val="24"/>
          <w:szCs w:val="24"/>
          <w:lang w:eastAsia="en-CA"/>
        </w:rPr>
      </w:pPr>
    </w:p>
    <w:p w:rsidR="00D77415" w:rsidRPr="0021164D" w:rsidRDefault="00D77415" w:rsidP="0097221B">
      <w:pPr>
        <w:spacing w:after="0"/>
        <w:rPr>
          <w:rFonts w:ascii="Times New Roman" w:eastAsia="Arial" w:hAnsi="Times New Roman" w:cs="Times New Roman"/>
          <w:color w:val="000000"/>
          <w:sz w:val="24"/>
          <w:szCs w:val="24"/>
          <w:lang w:eastAsia="en-CA"/>
        </w:rPr>
      </w:pPr>
      <w:r w:rsidRPr="0021164D">
        <w:rPr>
          <w:rFonts w:ascii="Times New Roman" w:eastAsia="Arial" w:hAnsi="Times New Roman" w:cs="Times New Roman"/>
          <w:color w:val="000000"/>
          <w:sz w:val="24"/>
          <w:szCs w:val="24"/>
          <w:lang w:eastAsia="en-CA"/>
        </w:rPr>
        <w:t>M.H v. M.K.:</w:t>
      </w:r>
      <w:r w:rsidR="0097221B" w:rsidRPr="0021164D">
        <w:rPr>
          <w:rFonts w:ascii="Times New Roman" w:eastAsia="Arial" w:hAnsi="Times New Roman" w:cs="Times New Roman"/>
          <w:color w:val="000000"/>
          <w:sz w:val="24"/>
          <w:szCs w:val="24"/>
          <w:lang w:eastAsia="en-CA"/>
        </w:rPr>
        <w:t xml:space="preserve"> Appellant was the victim of incest. It began with fondling by her father and, after the age of ten or eleven, involved regular sexual intercourse with him. Her cooperation and silence were elicited by various threats which appellant had good reason to take seriously. She was also rewarded with pop, potato chips and money. In time, respondent gave her the responsibility for 1992 </w:t>
      </w:r>
      <w:proofErr w:type="spellStart"/>
      <w:r w:rsidR="0097221B" w:rsidRPr="0021164D">
        <w:rPr>
          <w:rFonts w:ascii="Times New Roman" w:eastAsia="Arial" w:hAnsi="Times New Roman" w:cs="Times New Roman"/>
          <w:color w:val="000000"/>
          <w:sz w:val="24"/>
          <w:szCs w:val="24"/>
          <w:lang w:eastAsia="en-CA"/>
        </w:rPr>
        <w:t>CanLII</w:t>
      </w:r>
      <w:proofErr w:type="spellEnd"/>
      <w:r w:rsidR="0097221B" w:rsidRPr="0021164D">
        <w:rPr>
          <w:rFonts w:ascii="Times New Roman" w:eastAsia="Arial" w:hAnsi="Times New Roman" w:cs="Times New Roman"/>
          <w:color w:val="000000"/>
          <w:sz w:val="24"/>
          <w:szCs w:val="24"/>
          <w:lang w:eastAsia="en-CA"/>
        </w:rPr>
        <w:t xml:space="preserve"> 31 (SCC) initiating sexual contact. Appellant tried several times to disclose this abuse to no avail. At the age of ten or eleven appellant tried to tell her mother and at age sixteen she told a high school guidance counsellor, who referred her to a school psychologist. Her father had her recant both to the psychologist and to a lawyer for the local school board. Other disclosures made after leaving home came to nothing until she finally attended meetings of a self-help group for incest victims and realized that her psychological problems as an adult were caused by the incest. With therapy appellant also came to realize that </w:t>
      </w:r>
      <w:r w:rsidR="0097221B" w:rsidRPr="0021164D">
        <w:rPr>
          <w:rFonts w:ascii="Times New Roman" w:eastAsia="Arial" w:hAnsi="Times New Roman" w:cs="Times New Roman"/>
          <w:color w:val="000000"/>
          <w:sz w:val="24"/>
          <w:szCs w:val="24"/>
          <w:lang w:eastAsia="en-CA"/>
        </w:rPr>
        <w:lastRenderedPageBreak/>
        <w:t xml:space="preserve">it was her father rather than herself who was at fault. Professional opinion was that appellant was unable to assess her situation rationally until she entered this therapy.  In 1985, at the age of 28, appellant sued her father for damages arising from the incest and for breach of a parent's fiduciary duty. At issue here are: (1) whether incest is a separate and distinct tort not subject to any limitation period; (2) whether incest constitutes a breach of fiduciary duty by a parent not subject to any limitation period; and (3) if a limitation period applies, whether it is postponed by the reasonable discoverability principle. At the end the decision was held in favour of the appellant. </w:t>
      </w:r>
    </w:p>
    <w:p w:rsidR="00480D6D" w:rsidRPr="0021164D" w:rsidRDefault="00480D6D" w:rsidP="00480D6D">
      <w:pPr>
        <w:spacing w:before="100" w:beforeAutospacing="1" w:after="100" w:afterAutospacing="1" w:line="240" w:lineRule="auto"/>
        <w:textAlignment w:val="baseline"/>
        <w:rPr>
          <w:rFonts w:ascii="Times New Roman" w:eastAsia="Times New Roman" w:hAnsi="Times New Roman" w:cs="Times New Roman"/>
          <w:color w:val="000000"/>
          <w:sz w:val="24"/>
          <w:szCs w:val="24"/>
          <w:u w:val="single"/>
          <w:lang w:eastAsia="en-CA"/>
        </w:rPr>
      </w:pPr>
      <w:r w:rsidRPr="0021164D">
        <w:rPr>
          <w:rFonts w:ascii="Times New Roman" w:eastAsia="Times New Roman" w:hAnsi="Times New Roman" w:cs="Times New Roman"/>
          <w:color w:val="000000"/>
          <w:sz w:val="24"/>
          <w:szCs w:val="24"/>
          <w:u w:val="single"/>
          <w:lang w:eastAsia="en-CA"/>
        </w:rPr>
        <w:t xml:space="preserve">Lecture twelve: </w:t>
      </w:r>
    </w:p>
    <w:p w:rsidR="00D77415" w:rsidRPr="0021164D" w:rsidRDefault="00D77415" w:rsidP="00D77415">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Duties of care: </w:t>
      </w:r>
    </w:p>
    <w:p w:rsidR="00D77415" w:rsidRPr="0021164D" w:rsidRDefault="00D77415" w:rsidP="00D77415">
      <w:pPr>
        <w:pStyle w:val="ListParagraph"/>
        <w:numPr>
          <w:ilvl w:val="0"/>
          <w:numId w:val="27"/>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Is the relationship between the defendant and the plaintiff sufficiently close as to give rise to a possible duty of care?</w:t>
      </w:r>
    </w:p>
    <w:p w:rsidR="00D77415" w:rsidRPr="0021164D" w:rsidRDefault="00D77415" w:rsidP="00D77415">
      <w:pPr>
        <w:pStyle w:val="ListParagraph"/>
        <w:numPr>
          <w:ilvl w:val="0"/>
          <w:numId w:val="27"/>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If the relationship is sufficiently close as to give rise to a duty of care are there any policy reasons why a duty of care should not be imposed?</w:t>
      </w:r>
    </w:p>
    <w:p w:rsidR="00D77415" w:rsidRPr="0021164D" w:rsidRDefault="00D77415" w:rsidP="00D77415">
      <w:pPr>
        <w:pStyle w:val="ListParagraph"/>
        <w:numPr>
          <w:ilvl w:val="1"/>
          <w:numId w:val="27"/>
        </w:num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Distinction between exercise of policy (what someone should do according to pre-set policy decisions) discretion and exercise of operational (how someone should act in a contingent situation) discretion</w:t>
      </w:r>
    </w:p>
    <w:p w:rsidR="00480D6D" w:rsidRPr="0021164D" w:rsidRDefault="00480D6D" w:rsidP="00D77415">
      <w:p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Jane Doe v. Metro To</w:t>
      </w:r>
      <w:r w:rsidR="00D77415" w:rsidRPr="0021164D">
        <w:rPr>
          <w:rFonts w:ascii="Times New Roman" w:eastAsia="Times New Roman" w:hAnsi="Times New Roman" w:cs="Times New Roman"/>
          <w:color w:val="000000"/>
          <w:sz w:val="24"/>
          <w:szCs w:val="24"/>
          <w:lang w:eastAsia="en-CA"/>
        </w:rPr>
        <w:t xml:space="preserve">ronto Police Commissioners: In 1986, Jane Doe was raped at knife-point by a stranger who broke into her apartment, from her balcony, while she was sleeping. In the seven months prior to the attack, four other women in her neighbourhood had reported to the police that they had been raped by a stranger in similar circumstances. The police were slow to link the assaults and did not devoted adequate resources to the investigation. Once they determined that a serial rapist was at large, they did not warn the women at risk. Jane Doe sued the Board of Commissioners for the Metro Toronto Police on three separate grounds: negligence, a violation of her Charter equality rights, and an infringement of her Charter right to security of the person. On July 3, 1998, Madam Justice </w:t>
      </w:r>
      <w:proofErr w:type="spellStart"/>
      <w:r w:rsidR="00D77415" w:rsidRPr="0021164D">
        <w:rPr>
          <w:rFonts w:ascii="Times New Roman" w:eastAsia="Times New Roman" w:hAnsi="Times New Roman" w:cs="Times New Roman"/>
          <w:color w:val="000000"/>
          <w:sz w:val="24"/>
          <w:szCs w:val="24"/>
          <w:lang w:eastAsia="en-CA"/>
        </w:rPr>
        <w:t>MacFarland</w:t>
      </w:r>
      <w:proofErr w:type="spellEnd"/>
      <w:r w:rsidR="00D77415" w:rsidRPr="0021164D">
        <w:rPr>
          <w:rFonts w:ascii="Times New Roman" w:eastAsia="Times New Roman" w:hAnsi="Times New Roman" w:cs="Times New Roman"/>
          <w:color w:val="000000"/>
          <w:sz w:val="24"/>
          <w:szCs w:val="24"/>
          <w:lang w:eastAsia="en-CA"/>
        </w:rPr>
        <w:t xml:space="preserve"> ruled in her favour on all three counts. The Judge held that the police owed a duty of care to the women in Jane Doe's neighbourhood and that they "utterly" failed in their duty to protect these women. She concluded that the police investigation of the so-called "balcony rapist" was "irresponsible and grossly negligent".</w:t>
      </w:r>
    </w:p>
    <w:p w:rsidR="00480D6D" w:rsidRPr="0021164D" w:rsidRDefault="00480D6D" w:rsidP="00480D6D">
      <w:pPr>
        <w:spacing w:before="100" w:beforeAutospacing="1" w:after="100" w:afterAutospacing="1" w:line="240" w:lineRule="auto"/>
        <w:textAlignment w:val="baseline"/>
        <w:rPr>
          <w:rFonts w:ascii="Times New Roman" w:eastAsia="Times New Roman" w:hAnsi="Times New Roman" w:cs="Times New Roman"/>
          <w:color w:val="000000"/>
          <w:sz w:val="24"/>
          <w:szCs w:val="24"/>
          <w:lang w:eastAsia="en-CA"/>
        </w:rPr>
      </w:pPr>
      <w:r w:rsidRPr="0021164D">
        <w:rPr>
          <w:rFonts w:ascii="Times New Roman" w:eastAsia="Times New Roman" w:hAnsi="Times New Roman" w:cs="Times New Roman"/>
          <w:color w:val="000000"/>
          <w:sz w:val="24"/>
          <w:szCs w:val="24"/>
          <w:lang w:eastAsia="en-CA"/>
        </w:rPr>
        <w:t>Kamloops v. Nielsen:</w:t>
      </w:r>
      <w:r w:rsidR="00172656" w:rsidRPr="0021164D">
        <w:rPr>
          <w:rFonts w:ascii="Times New Roman" w:eastAsia="Times New Roman" w:hAnsi="Times New Roman" w:cs="Times New Roman"/>
          <w:color w:val="000000"/>
          <w:sz w:val="24"/>
          <w:szCs w:val="24"/>
          <w:lang w:eastAsia="en-CA"/>
        </w:rPr>
        <w:t xml:space="preserve"> is a leading Supreme Court of Canada (SCC) decision setting forth the criteria which must be met in order for a plaintiff to make a claim in tort for pure economic loss. A house in Kamloops, British Columbia had insufficient foundations which were discovered upon inspection by the city. Stop work orders were issued but not enforced. The house was sold to the </w:t>
      </w:r>
      <w:proofErr w:type="spellStart"/>
      <w:r w:rsidR="00172656" w:rsidRPr="0021164D">
        <w:rPr>
          <w:rFonts w:ascii="Times New Roman" w:eastAsia="Times New Roman" w:hAnsi="Times New Roman" w:cs="Times New Roman"/>
          <w:color w:val="000000"/>
          <w:sz w:val="24"/>
          <w:szCs w:val="24"/>
          <w:lang w:eastAsia="en-CA"/>
        </w:rPr>
        <w:t>Neilsens</w:t>
      </w:r>
      <w:proofErr w:type="spellEnd"/>
      <w:r w:rsidR="00172656" w:rsidRPr="0021164D">
        <w:rPr>
          <w:rFonts w:ascii="Times New Roman" w:eastAsia="Times New Roman" w:hAnsi="Times New Roman" w:cs="Times New Roman"/>
          <w:color w:val="000000"/>
          <w:sz w:val="24"/>
          <w:szCs w:val="24"/>
          <w:lang w:eastAsia="en-CA"/>
        </w:rPr>
        <w:t xml:space="preserve">. On discovering the construction deficiencies, the </w:t>
      </w:r>
      <w:proofErr w:type="spellStart"/>
      <w:r w:rsidR="00172656" w:rsidRPr="0021164D">
        <w:rPr>
          <w:rFonts w:ascii="Times New Roman" w:eastAsia="Times New Roman" w:hAnsi="Times New Roman" w:cs="Times New Roman"/>
          <w:color w:val="000000"/>
          <w:sz w:val="24"/>
          <w:szCs w:val="24"/>
          <w:lang w:eastAsia="en-CA"/>
        </w:rPr>
        <w:t>Neilsens</w:t>
      </w:r>
      <w:proofErr w:type="spellEnd"/>
      <w:r w:rsidR="00172656" w:rsidRPr="0021164D">
        <w:rPr>
          <w:rFonts w:ascii="Times New Roman" w:eastAsia="Times New Roman" w:hAnsi="Times New Roman" w:cs="Times New Roman"/>
          <w:color w:val="000000"/>
          <w:sz w:val="24"/>
          <w:szCs w:val="24"/>
          <w:lang w:eastAsia="en-CA"/>
        </w:rPr>
        <w:t xml:space="preserve"> sued the city for negligent performance of inspection. The vendor of the house, Hughes, assumed liability as well. 75% of the liability was delegated to Hughes and 25% was given to the city. Under statute, the city had discretion whether to inspect construction. The city argued that it could not be liable for exercising that discretion. </w:t>
      </w:r>
      <w:r w:rsidR="00172656" w:rsidRPr="0021164D">
        <w:rPr>
          <w:rFonts w:ascii="Times New Roman" w:hAnsi="Times New Roman" w:cs="Times New Roman"/>
          <w:color w:val="000000"/>
          <w:sz w:val="24"/>
          <w:szCs w:val="24"/>
          <w:shd w:val="clear" w:color="auto" w:fill="FFFFFF"/>
        </w:rPr>
        <w:t xml:space="preserve">The exercise of the statutory discretion granted to the city to inspect was a policy decision. A plaintiff cannot sue government for a policy decision; however, once the city elected to inspect, the enforcement of that inspection was an operational decision which </w:t>
      </w:r>
      <w:r w:rsidR="00172656" w:rsidRPr="0021164D">
        <w:rPr>
          <w:rFonts w:ascii="Times New Roman" w:hAnsi="Times New Roman" w:cs="Times New Roman"/>
          <w:color w:val="000000"/>
          <w:sz w:val="24"/>
          <w:szCs w:val="24"/>
          <w:shd w:val="clear" w:color="auto" w:fill="FFFFFF"/>
        </w:rPr>
        <w:lastRenderedPageBreak/>
        <w:t>could give rise to a duty of care. On a breach of that duty of care, a plaintiff could sue. The court concluded that the city breached its duty of care by negligently enforcing inspection.</w:t>
      </w:r>
    </w:p>
    <w:p w:rsidR="0063392F" w:rsidRPr="0021164D" w:rsidRDefault="00EF671B" w:rsidP="00EF671B">
      <w:pPr>
        <w:rPr>
          <w:rFonts w:ascii="Times New Roman" w:hAnsi="Times New Roman" w:cs="Times New Roman"/>
          <w:b/>
          <w:sz w:val="24"/>
          <w:szCs w:val="24"/>
        </w:rPr>
      </w:pPr>
      <w:r w:rsidRPr="0021164D">
        <w:rPr>
          <w:rFonts w:ascii="Times New Roman" w:hAnsi="Times New Roman" w:cs="Times New Roman"/>
          <w:b/>
          <w:sz w:val="24"/>
          <w:szCs w:val="24"/>
        </w:rPr>
        <w:t xml:space="preserve">Text: Canadian Legal Studies Series (Just Between Us and the Law) </w:t>
      </w:r>
    </w:p>
    <w:p w:rsidR="00EF671B" w:rsidRPr="0021164D" w:rsidRDefault="00EF671B"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One: </w:t>
      </w:r>
    </w:p>
    <w:p w:rsidR="000D2617" w:rsidRPr="0021164D" w:rsidRDefault="000D2617" w:rsidP="00911661">
      <w:pPr>
        <w:pStyle w:val="ListParagraph"/>
        <w:numPr>
          <w:ilvl w:val="1"/>
          <w:numId w:val="25"/>
        </w:numPr>
        <w:rPr>
          <w:rFonts w:ascii="Times New Roman" w:hAnsi="Times New Roman" w:cs="Times New Roman"/>
          <w:sz w:val="24"/>
          <w:szCs w:val="24"/>
        </w:rPr>
      </w:pPr>
      <w:r w:rsidRPr="0021164D">
        <w:rPr>
          <w:rFonts w:ascii="Times New Roman" w:hAnsi="Times New Roman" w:cs="Times New Roman"/>
          <w:sz w:val="24"/>
          <w:szCs w:val="24"/>
        </w:rPr>
        <w:t xml:space="preserve">The Essence of Contract: In this article, the author goes through five theories which form the basis of all contracts. The professor in class discussed in class that there are three main theories of contracts, they are as follows: </w:t>
      </w:r>
      <w:r w:rsidR="00911661" w:rsidRPr="0021164D">
        <w:rPr>
          <w:rFonts w:ascii="Times New Roman" w:hAnsi="Times New Roman" w:cs="Times New Roman"/>
          <w:sz w:val="24"/>
          <w:szCs w:val="24"/>
        </w:rPr>
        <w:t xml:space="preserve"> The Promise theory of contract - promise theory of contracts stipulates that contracts are made through promises which should be kept and not broken. The reason for this is there is a moral obligation attached to making a promise with another party. A covenant is established between the parties involved and it must not be broken at any point. (ex: God’s covenant to Noah that he would never destroy the earth again with a great flood; despite how much humans may come to spite God in the future) The will theory of contract - the will theory of contracts stipulates that contracts are agreements made between two parties. Under this theory, contracts are considered expressions of human will and as such should be respected. You can break the contract so long as you pay the damages associated with walking away and breaching that said contract. The Reasonable Expectation of Contract - the reasonable expectation of contract stipulates that all contracts are always an expression of will. It suggests that contracts create certain expectations which must be fulfilled if the contract is agreed upon between two parties. The other two theories covered by the author which were combined by the professor in the three aforementioned theories include reliance theory and the bargain theory. </w:t>
      </w:r>
    </w:p>
    <w:p w:rsidR="000D2617" w:rsidRPr="0021164D" w:rsidRDefault="000D2617" w:rsidP="000D2617">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Contracts, promises and the Law of Obligations: </w:t>
      </w:r>
      <w:r w:rsidR="00AA7F48" w:rsidRPr="0021164D">
        <w:rPr>
          <w:rFonts w:ascii="Times New Roman" w:hAnsi="Times New Roman" w:cs="Times New Roman"/>
          <w:sz w:val="24"/>
          <w:szCs w:val="24"/>
        </w:rPr>
        <w:t>Asks that there be a divide between duties which are voluntarily assumed and duties which are imposed by the law. A more adequate structure would be that the law of obligations be built around the inter-relationship between the concept of reciprocal benefit, acts of reasonable reliance, and voluntary human conduct</w:t>
      </w:r>
    </w:p>
    <w:p w:rsidR="000D2617" w:rsidRPr="0021164D" w:rsidRDefault="000D2617" w:rsidP="00274BF9">
      <w:pPr>
        <w:pStyle w:val="ListParagraph"/>
        <w:numPr>
          <w:ilvl w:val="1"/>
          <w:numId w:val="25"/>
        </w:numPr>
        <w:rPr>
          <w:rFonts w:ascii="Times New Roman" w:hAnsi="Times New Roman" w:cs="Times New Roman"/>
          <w:sz w:val="24"/>
          <w:szCs w:val="24"/>
        </w:rPr>
      </w:pPr>
      <w:proofErr w:type="spellStart"/>
      <w:r w:rsidRPr="0021164D">
        <w:rPr>
          <w:rFonts w:ascii="Times New Roman" w:hAnsi="Times New Roman" w:cs="Times New Roman"/>
          <w:sz w:val="24"/>
          <w:szCs w:val="24"/>
        </w:rPr>
        <w:t>Carhill</w:t>
      </w:r>
      <w:proofErr w:type="spellEnd"/>
      <w:r w:rsidRPr="0021164D">
        <w:rPr>
          <w:rFonts w:ascii="Times New Roman" w:hAnsi="Times New Roman" w:cs="Times New Roman"/>
          <w:sz w:val="24"/>
          <w:szCs w:val="24"/>
        </w:rPr>
        <w:t xml:space="preserve"> v. Carbolic Smoke Ball Co.: </w:t>
      </w:r>
      <w:proofErr w:type="spellStart"/>
      <w:r w:rsidR="00274BF9" w:rsidRPr="0021164D">
        <w:rPr>
          <w:rFonts w:ascii="Times New Roman" w:hAnsi="Times New Roman" w:cs="Times New Roman"/>
          <w:sz w:val="24"/>
          <w:szCs w:val="24"/>
        </w:rPr>
        <w:t>Carhill</w:t>
      </w:r>
      <w:proofErr w:type="spellEnd"/>
      <w:r w:rsidR="00274BF9" w:rsidRPr="0021164D">
        <w:rPr>
          <w:rFonts w:ascii="Times New Roman" w:hAnsi="Times New Roman" w:cs="Times New Roman"/>
          <w:sz w:val="24"/>
          <w:szCs w:val="24"/>
        </w:rPr>
        <w:t xml:space="preserve"> v. Carbolic Smoke Ball Co. pertains to issues surrounding the nature of a legally binding contract. In this case, a company advertised on their product that the use of their product would guarantee the user protection from the influenza virus. The company was so confident in their claim and the quality of their product that they guaranteed on the product packaging that if the user got the influenza virus after its use they would give that person 100 English pounds. The plaintiff, </w:t>
      </w:r>
      <w:proofErr w:type="spellStart"/>
      <w:r w:rsidR="00274BF9" w:rsidRPr="0021164D">
        <w:rPr>
          <w:rFonts w:ascii="Times New Roman" w:hAnsi="Times New Roman" w:cs="Times New Roman"/>
          <w:sz w:val="24"/>
          <w:szCs w:val="24"/>
        </w:rPr>
        <w:t>Carhill</w:t>
      </w:r>
      <w:proofErr w:type="spellEnd"/>
      <w:r w:rsidR="00274BF9" w:rsidRPr="0021164D">
        <w:rPr>
          <w:rFonts w:ascii="Times New Roman" w:hAnsi="Times New Roman" w:cs="Times New Roman"/>
          <w:sz w:val="24"/>
          <w:szCs w:val="24"/>
        </w:rPr>
        <w:t xml:space="preserve"> purchased and used this product and ended up getting influenza. Upon asking the company for compensation the company refused her. Thus, </w:t>
      </w:r>
      <w:proofErr w:type="spellStart"/>
      <w:r w:rsidR="00274BF9" w:rsidRPr="0021164D">
        <w:rPr>
          <w:rFonts w:ascii="Times New Roman" w:hAnsi="Times New Roman" w:cs="Times New Roman"/>
          <w:sz w:val="24"/>
          <w:szCs w:val="24"/>
        </w:rPr>
        <w:t>Carhill</w:t>
      </w:r>
      <w:proofErr w:type="spellEnd"/>
      <w:r w:rsidR="00274BF9" w:rsidRPr="0021164D">
        <w:rPr>
          <w:rFonts w:ascii="Times New Roman" w:hAnsi="Times New Roman" w:cs="Times New Roman"/>
          <w:sz w:val="24"/>
          <w:szCs w:val="24"/>
        </w:rPr>
        <w:t xml:space="preserve"> sued the company for breach of contract.  In their defense, the company claimed that there was no established contract made and agreed upon between the two parties involved in this hearing. They claimed </w:t>
      </w:r>
      <w:r w:rsidR="00274BF9" w:rsidRPr="0021164D">
        <w:rPr>
          <w:rFonts w:ascii="Times New Roman" w:hAnsi="Times New Roman" w:cs="Times New Roman"/>
          <w:sz w:val="24"/>
          <w:szCs w:val="24"/>
        </w:rPr>
        <w:lastRenderedPageBreak/>
        <w:t xml:space="preserve">that no consideration of an offer was made as well as no real exchange either; they also claimed that the message on the product packaging was not enough to be taken seriously (contracts cannot be made off of marketing ploys) . The court ruled in favour of Ms. </w:t>
      </w:r>
      <w:proofErr w:type="spellStart"/>
      <w:r w:rsidR="00274BF9" w:rsidRPr="0021164D">
        <w:rPr>
          <w:rFonts w:ascii="Times New Roman" w:hAnsi="Times New Roman" w:cs="Times New Roman"/>
          <w:sz w:val="24"/>
          <w:szCs w:val="24"/>
        </w:rPr>
        <w:t>Carhill</w:t>
      </w:r>
      <w:proofErr w:type="spellEnd"/>
      <w:r w:rsidR="00274BF9" w:rsidRPr="0021164D">
        <w:rPr>
          <w:rFonts w:ascii="Times New Roman" w:hAnsi="Times New Roman" w:cs="Times New Roman"/>
          <w:sz w:val="24"/>
          <w:szCs w:val="24"/>
        </w:rPr>
        <w:t>. They claimed that an implicit offer was made on the product packaging. There was no question in clarity or intentions on the product packaging to show that the company did not have a serious intent to establish a contract between the company and the consumer.</w:t>
      </w:r>
    </w:p>
    <w:p w:rsidR="000D2617" w:rsidRPr="0021164D" w:rsidRDefault="000D2617" w:rsidP="00911661">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Gilbert Steel Ltd. v. University Construction Ltd.: </w:t>
      </w:r>
      <w:r w:rsidR="00911661" w:rsidRPr="0021164D">
        <w:rPr>
          <w:rFonts w:ascii="Times New Roman" w:hAnsi="Times New Roman" w:cs="Times New Roman"/>
          <w:sz w:val="24"/>
          <w:szCs w:val="24"/>
        </w:rPr>
        <w:t xml:space="preserve"> Gilbert Steel entered into a written contract on September 4, 1968 to deliver fabricated steel for three separate apartment buildings at particular prices. The steel was delivered for two of the projects after which the steel mill owner increased the price of the steel unilaterally. The appellant approached the defendant and a new written contract was entered into on October 22, 1969 for the supply of steel for the first building. On March 1, 1970 the mill owner again increased the price and Gilbert and the </w:t>
      </w:r>
      <w:proofErr w:type="spellStart"/>
      <w:r w:rsidR="00911661" w:rsidRPr="0021164D">
        <w:rPr>
          <w:rFonts w:ascii="Times New Roman" w:hAnsi="Times New Roman" w:cs="Times New Roman"/>
          <w:sz w:val="24"/>
          <w:szCs w:val="24"/>
        </w:rPr>
        <w:t>Tenebaums</w:t>
      </w:r>
      <w:proofErr w:type="spellEnd"/>
      <w:r w:rsidR="00911661" w:rsidRPr="0021164D">
        <w:rPr>
          <w:rFonts w:ascii="Times New Roman" w:hAnsi="Times New Roman" w:cs="Times New Roman"/>
          <w:sz w:val="24"/>
          <w:szCs w:val="24"/>
        </w:rPr>
        <w:t xml:space="preserve"> (representing the defendant) worked out what the appellant alleged is a binding oral agreement to pay the new increased price. The defendant subsequently accepted deliveries of steel where the invoices showed the new prices. The lower court found there was an oral agreement to pay the increased prices, but that there was insufficient consideration for the agreement to be binding</w:t>
      </w:r>
      <w:r w:rsidR="00274BF9" w:rsidRPr="0021164D">
        <w:rPr>
          <w:rFonts w:ascii="Times New Roman" w:hAnsi="Times New Roman" w:cs="Times New Roman"/>
          <w:sz w:val="24"/>
          <w:szCs w:val="24"/>
        </w:rPr>
        <w:t xml:space="preserve"> </w:t>
      </w:r>
      <w:r w:rsidR="00911661" w:rsidRPr="0021164D">
        <w:rPr>
          <w:rFonts w:ascii="Times New Roman" w:hAnsi="Times New Roman" w:cs="Times New Roman"/>
          <w:sz w:val="24"/>
          <w:szCs w:val="24"/>
        </w:rPr>
        <w:t>.</w:t>
      </w:r>
      <w:r w:rsidR="00274BF9" w:rsidRPr="0021164D">
        <w:rPr>
          <w:rFonts w:ascii="Times New Roman" w:hAnsi="Times New Roman" w:cs="Times New Roman"/>
          <w:sz w:val="24"/>
          <w:szCs w:val="24"/>
        </w:rPr>
        <w:t>The legal issue at hand in this case was whether there is sufficient consideration to find a binding agreement. The court decision dismissed the appeal, finding that the respondent</w:t>
      </w:r>
      <w:r w:rsidR="00911661" w:rsidRPr="0021164D">
        <w:rPr>
          <w:rFonts w:ascii="Times New Roman" w:hAnsi="Times New Roman" w:cs="Times New Roman"/>
          <w:sz w:val="24"/>
          <w:szCs w:val="24"/>
        </w:rPr>
        <w:t xml:space="preserve"> (university construction)</w:t>
      </w:r>
      <w:r w:rsidR="00274BF9" w:rsidRPr="0021164D">
        <w:rPr>
          <w:rFonts w:ascii="Times New Roman" w:hAnsi="Times New Roman" w:cs="Times New Roman"/>
          <w:sz w:val="24"/>
          <w:szCs w:val="24"/>
        </w:rPr>
        <w:t xml:space="preserve"> upheld their end of the contract. </w:t>
      </w:r>
      <w:r w:rsidR="00911661" w:rsidRPr="0021164D">
        <w:rPr>
          <w:rFonts w:ascii="Times New Roman" w:hAnsi="Times New Roman" w:cs="Times New Roman"/>
          <w:sz w:val="24"/>
          <w:szCs w:val="24"/>
        </w:rPr>
        <w:t>The court believed that a prior duty owed to the promisor does not serve as a legally sufficient consideration</w:t>
      </w:r>
    </w:p>
    <w:p w:rsidR="000D2617" w:rsidRPr="0021164D" w:rsidRDefault="00DE4153" w:rsidP="000D2617">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Non-contractual Relationships in Business; A Preliminary Study: </w:t>
      </w:r>
      <w:r w:rsidR="009C2030" w:rsidRPr="0021164D">
        <w:rPr>
          <w:rFonts w:ascii="Times New Roman" w:hAnsi="Times New Roman" w:cs="Times New Roman"/>
          <w:sz w:val="24"/>
          <w:szCs w:val="24"/>
        </w:rPr>
        <w:t xml:space="preserve">Contracts play an important role in business, but other factors are also important. To understand the function of contract the whole system of conducting exchanges must be explored fully. More types of business communities must be studies, contract litigation must be analyzed to see why the non-legal sanctions and all of the variables suggested in this paper must be classified more systematically. </w:t>
      </w:r>
    </w:p>
    <w:p w:rsidR="00DE4153" w:rsidRPr="0021164D" w:rsidRDefault="00DE4153" w:rsidP="00274BF9">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Balfour v. Balfour: </w:t>
      </w:r>
      <w:r w:rsidR="00274BF9" w:rsidRPr="0021164D">
        <w:rPr>
          <w:rFonts w:ascii="Times New Roman" w:hAnsi="Times New Roman" w:cs="Times New Roman"/>
          <w:sz w:val="24"/>
          <w:szCs w:val="24"/>
        </w:rPr>
        <w:t xml:space="preserve">A case between Mr. Balfour (D) and Mrs. Balfour (P). The plaintiff remained in England for medical treatment and the defendant agreed to send her a specific amount of money each month until she could join the husband in Sri Lanka. The defendant later asked to remain separated and Mrs. Balfour sued for restitution of her conjugal rights and for alimony equal to the amount her husband had agreed to send. The legal issues pertaining to this case was whether both parties intend that an agreement be legally binding in order to ben an enforceable agreement as well as under what circumstances will a court decline to enforce an agreement between spouses?  The court ruled that there was no enforceable agreement established between the two spouses. This case is one of </w:t>
      </w:r>
      <w:r w:rsidR="00274BF9" w:rsidRPr="0021164D">
        <w:rPr>
          <w:rFonts w:ascii="Times New Roman" w:hAnsi="Times New Roman" w:cs="Times New Roman"/>
          <w:sz w:val="24"/>
          <w:szCs w:val="24"/>
        </w:rPr>
        <w:lastRenderedPageBreak/>
        <w:t>the main indicators which lead to the legal shift from marriage as a promise theory of contract to a will theory of contact.</w:t>
      </w:r>
    </w:p>
    <w:p w:rsidR="00DE4153" w:rsidRPr="0021164D" w:rsidRDefault="00DE4153" w:rsidP="00DE4153">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Contract Marriage—The Way Forward or Dead End?: </w:t>
      </w:r>
      <w:r w:rsidR="009F05AC" w:rsidRPr="0021164D">
        <w:rPr>
          <w:rFonts w:ascii="Times New Roman" w:hAnsi="Times New Roman" w:cs="Times New Roman"/>
          <w:sz w:val="24"/>
          <w:szCs w:val="24"/>
        </w:rPr>
        <w:t xml:space="preserve"> This article aims to analyze the contractual theories of marriage and consider how  advisable it is that the law concerning marriage should be reformed to make it conform more closely to contractual principles. The author maintains that the proponents of contract are incapable of addressing the fundamental problem of the imbalance of power in contemporary marriage and rely on a conceptualization of the public/private divide inimical to the very freedom and equality that contractarian ideals claim to advance. </w:t>
      </w:r>
    </w:p>
    <w:p w:rsidR="00DE4153" w:rsidRPr="0021164D" w:rsidRDefault="00DE4153" w:rsidP="0018693F">
      <w:pPr>
        <w:pStyle w:val="ListParagraph"/>
        <w:numPr>
          <w:ilvl w:val="1"/>
          <w:numId w:val="25"/>
        </w:numPr>
        <w:rPr>
          <w:rFonts w:ascii="Times New Roman" w:hAnsi="Times New Roman" w:cs="Times New Roman"/>
          <w:sz w:val="24"/>
          <w:szCs w:val="24"/>
          <w:u w:val="single"/>
        </w:rPr>
      </w:pPr>
      <w:r w:rsidRPr="0021164D">
        <w:rPr>
          <w:rFonts w:ascii="Times New Roman" w:hAnsi="Times New Roman" w:cs="Times New Roman"/>
          <w:sz w:val="24"/>
          <w:szCs w:val="24"/>
        </w:rPr>
        <w:t xml:space="preserve">In Re Baby M: </w:t>
      </w:r>
      <w:r w:rsidR="0018693F" w:rsidRPr="0021164D">
        <w:rPr>
          <w:rFonts w:ascii="Times New Roman" w:hAnsi="Times New Roman" w:cs="Times New Roman"/>
          <w:sz w:val="24"/>
          <w:szCs w:val="24"/>
        </w:rPr>
        <w:t>The Sterns entered into a surrogacy contract with the Whiteheads whereby Mrs. Whitehead would bear the child of Mr. Stern through artificial insemination and relinquish custody of the child to the Sterns upon birth. Once the child was born Mrs. Whitehead found herself unable to part with the child, and sought to retain custody. The legal issue at hand in this case was whether a surrogacy contract is enforceable, and if not, who should gain custody of Baby M? The Court found that the surrogacy contract was unenforceable because it violated state statutes and public policy. Nonetheless, based solely on the best interests of the child custody was granted to the Sterns, with visitation rights to Mrs. Whitehead.</w:t>
      </w:r>
    </w:p>
    <w:p w:rsidR="005314DF" w:rsidRPr="0021164D" w:rsidRDefault="00EF671B"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Chapter Two:</w:t>
      </w:r>
    </w:p>
    <w:p w:rsidR="005314DF" w:rsidRPr="0021164D" w:rsidRDefault="005314DF" w:rsidP="006A7928">
      <w:pPr>
        <w:pStyle w:val="ListParagraph"/>
        <w:numPr>
          <w:ilvl w:val="0"/>
          <w:numId w:val="9"/>
        </w:numPr>
        <w:rPr>
          <w:rFonts w:ascii="Times New Roman" w:hAnsi="Times New Roman" w:cs="Times New Roman"/>
          <w:sz w:val="24"/>
          <w:szCs w:val="24"/>
          <w:u w:val="single"/>
        </w:rPr>
      </w:pPr>
      <w:r w:rsidRPr="0021164D">
        <w:rPr>
          <w:rFonts w:ascii="Times New Roman" w:hAnsi="Times New Roman" w:cs="Times New Roman"/>
          <w:sz w:val="24"/>
          <w:szCs w:val="24"/>
        </w:rPr>
        <w:t xml:space="preserve">Tilden Rent-A-Car Co. v. Clendenning: </w:t>
      </w:r>
      <w:r w:rsidR="00EF671B" w:rsidRPr="0021164D">
        <w:rPr>
          <w:rFonts w:ascii="Times New Roman" w:hAnsi="Times New Roman" w:cs="Times New Roman"/>
          <w:sz w:val="24"/>
          <w:szCs w:val="24"/>
          <w:u w:val="single"/>
        </w:rPr>
        <w:t xml:space="preserve"> </w:t>
      </w:r>
      <w:r w:rsidR="006A7928" w:rsidRPr="0021164D">
        <w:rPr>
          <w:rFonts w:ascii="Times New Roman" w:hAnsi="Times New Roman" w:cs="Times New Roman"/>
          <w:sz w:val="24"/>
          <w:szCs w:val="24"/>
        </w:rPr>
        <w:t>A case in which the issue at hand was whether an exemption clause from a contract is valid if it contains unusual terms which were not expressly brought to the attention of the plaintiff at the time of agreeing to the contract. Clendenning rented a car from Tilden Rent-A-Car. He signed the rental agreement which contained an exclusion clause denying coverage for accidents that occur if the driver had consumed any alcohol, although he testified that he had inquired what the $2/day fee covered and was told "full non-deductible coverage". While in V</w:t>
      </w:r>
      <w:r w:rsidR="00987C5B" w:rsidRPr="0021164D">
        <w:rPr>
          <w:rFonts w:ascii="Times New Roman" w:hAnsi="Times New Roman" w:cs="Times New Roman"/>
          <w:sz w:val="24"/>
          <w:szCs w:val="24"/>
        </w:rPr>
        <w:t>ancouver, Clendenning hit a pedestrian</w:t>
      </w:r>
      <w:r w:rsidR="006A7928" w:rsidRPr="0021164D">
        <w:rPr>
          <w:rFonts w:ascii="Times New Roman" w:hAnsi="Times New Roman" w:cs="Times New Roman"/>
          <w:sz w:val="24"/>
          <w:szCs w:val="24"/>
        </w:rPr>
        <w:t xml:space="preserve"> after having consumed alcohol. He pleaded guilty to impaired driving and tried to collect from the insurance policy to pay for the damages</w:t>
      </w:r>
      <w:r w:rsidR="00987C5B" w:rsidRPr="0021164D">
        <w:rPr>
          <w:rFonts w:ascii="Times New Roman" w:hAnsi="Times New Roman" w:cs="Times New Roman"/>
          <w:sz w:val="24"/>
          <w:szCs w:val="24"/>
        </w:rPr>
        <w:t xml:space="preserve"> of his accident. </w:t>
      </w:r>
      <w:r w:rsidR="006A7928" w:rsidRPr="0021164D">
        <w:rPr>
          <w:rFonts w:ascii="Times New Roman" w:hAnsi="Times New Roman" w:cs="Times New Roman"/>
          <w:sz w:val="24"/>
          <w:szCs w:val="24"/>
        </w:rPr>
        <w:t>He was successful at trial</w:t>
      </w:r>
      <w:r w:rsidR="00987C5B" w:rsidRPr="0021164D">
        <w:rPr>
          <w:rFonts w:ascii="Times New Roman" w:hAnsi="Times New Roman" w:cs="Times New Roman"/>
          <w:sz w:val="24"/>
          <w:szCs w:val="24"/>
        </w:rPr>
        <w:t>.</w:t>
      </w:r>
    </w:p>
    <w:p w:rsidR="006A7928" w:rsidRPr="0021164D" w:rsidRDefault="00E717C8" w:rsidP="006A7928">
      <w:pPr>
        <w:pStyle w:val="ListParagraph"/>
        <w:numPr>
          <w:ilvl w:val="0"/>
          <w:numId w:val="9"/>
        </w:numPr>
        <w:rPr>
          <w:rFonts w:ascii="Times New Roman" w:hAnsi="Times New Roman" w:cs="Times New Roman"/>
          <w:sz w:val="24"/>
          <w:szCs w:val="24"/>
          <w:u w:val="single"/>
        </w:rPr>
      </w:pPr>
      <w:r w:rsidRPr="0021164D">
        <w:rPr>
          <w:rFonts w:ascii="Times New Roman" w:hAnsi="Times New Roman" w:cs="Times New Roman"/>
          <w:sz w:val="24"/>
          <w:szCs w:val="24"/>
        </w:rPr>
        <w:t xml:space="preserve">Culpable Silence: Liability for Non-disclosure in the Contractual Arena:  article concerned with the extent to which one party has a common law duty to disclose information to another, either antecedent to or during the life of a commercial contract. </w:t>
      </w:r>
      <w:r w:rsidR="006A7928" w:rsidRPr="0021164D">
        <w:rPr>
          <w:rFonts w:ascii="Times New Roman" w:hAnsi="Times New Roman" w:cs="Times New Roman"/>
          <w:sz w:val="24"/>
          <w:szCs w:val="24"/>
        </w:rPr>
        <w:t xml:space="preserve">As it stands currently there is no duty to disclosure. The existence of a duty to disclose in the contractual arena can escape general detection because it is implicit in or absorbed by a variety of other legal rubrics  </w:t>
      </w:r>
    </w:p>
    <w:p w:rsidR="00E717C8" w:rsidRPr="0021164D" w:rsidRDefault="005314DF" w:rsidP="00AA72FA">
      <w:pPr>
        <w:pStyle w:val="ListParagraph"/>
        <w:numPr>
          <w:ilvl w:val="0"/>
          <w:numId w:val="9"/>
        </w:numPr>
        <w:rPr>
          <w:rFonts w:ascii="Times New Roman" w:hAnsi="Times New Roman" w:cs="Times New Roman"/>
          <w:sz w:val="24"/>
          <w:szCs w:val="24"/>
          <w:u w:val="single"/>
        </w:rPr>
      </w:pPr>
      <w:proofErr w:type="spellStart"/>
      <w:r w:rsidRPr="0021164D">
        <w:rPr>
          <w:rFonts w:ascii="Times New Roman" w:hAnsi="Times New Roman" w:cs="Times New Roman"/>
          <w:sz w:val="24"/>
          <w:szCs w:val="24"/>
        </w:rPr>
        <w:t>Sevidal</w:t>
      </w:r>
      <w:proofErr w:type="spellEnd"/>
      <w:r w:rsidRPr="0021164D">
        <w:rPr>
          <w:rFonts w:ascii="Times New Roman" w:hAnsi="Times New Roman" w:cs="Times New Roman"/>
          <w:sz w:val="24"/>
          <w:szCs w:val="24"/>
        </w:rPr>
        <w:t xml:space="preserve"> v. Chopra</w:t>
      </w:r>
      <w:r w:rsidR="00AA72FA" w:rsidRPr="0021164D">
        <w:rPr>
          <w:rFonts w:ascii="Times New Roman" w:hAnsi="Times New Roman" w:cs="Times New Roman"/>
          <w:sz w:val="24"/>
          <w:szCs w:val="24"/>
        </w:rPr>
        <w:t xml:space="preserve">: the vendors discovered, after the purchase agreement had been signed and before closing, that there was radioactive material on the property being sold. They </w:t>
      </w:r>
      <w:r w:rsidR="00AA72FA" w:rsidRPr="0021164D">
        <w:rPr>
          <w:rFonts w:ascii="Times New Roman" w:hAnsi="Times New Roman" w:cs="Times New Roman"/>
          <w:sz w:val="24"/>
          <w:szCs w:val="24"/>
        </w:rPr>
        <w:lastRenderedPageBreak/>
        <w:t>did not disclose this information to the purchaser prior to closing. The court held that there was an obligation on the vendors to disclose to the purchaser the existence of the radioactive material when the vendors learned about this in the interval between signing of the purchase agreement and closing of the transaction.</w:t>
      </w:r>
    </w:p>
    <w:p w:rsidR="005314DF" w:rsidRPr="0021164D" w:rsidRDefault="005314DF" w:rsidP="00C92968">
      <w:pPr>
        <w:pStyle w:val="ListParagraph"/>
        <w:numPr>
          <w:ilvl w:val="0"/>
          <w:numId w:val="10"/>
        </w:numPr>
        <w:rPr>
          <w:rFonts w:ascii="Times New Roman" w:hAnsi="Times New Roman" w:cs="Times New Roman"/>
          <w:sz w:val="24"/>
          <w:szCs w:val="24"/>
          <w:u w:val="single"/>
        </w:rPr>
      </w:pPr>
      <w:proofErr w:type="spellStart"/>
      <w:r w:rsidRPr="0021164D">
        <w:rPr>
          <w:rFonts w:ascii="Times New Roman" w:hAnsi="Times New Roman" w:cs="Times New Roman"/>
          <w:sz w:val="24"/>
          <w:szCs w:val="24"/>
        </w:rPr>
        <w:t>Llyods</w:t>
      </w:r>
      <w:proofErr w:type="spellEnd"/>
      <w:r w:rsidRPr="0021164D">
        <w:rPr>
          <w:rFonts w:ascii="Times New Roman" w:hAnsi="Times New Roman" w:cs="Times New Roman"/>
          <w:sz w:val="24"/>
          <w:szCs w:val="24"/>
        </w:rPr>
        <w:t xml:space="preserve"> Bank Ltd. v. Bundy: </w:t>
      </w:r>
      <w:r w:rsidR="00C92968" w:rsidRPr="0021164D">
        <w:rPr>
          <w:rFonts w:ascii="Times New Roman" w:hAnsi="Times New Roman" w:cs="Times New Roman"/>
          <w:sz w:val="24"/>
          <w:szCs w:val="24"/>
        </w:rPr>
        <w:t>Herbert James Bundy was a farmer. His son, Michael, formed a MJB Plant Hire Ltd and it was in financial trouble. Mr Bundy had already guaranteed the business with a £7,500 charge over his only asset to Lloyds. This was his farmhouse at Yew Tree Farm. Michael's company got into more trouble still, and needed more money. Bundy's solicitor said not to put on any more money, but they went up to £11,000. The assistant manager of Lloyds, Mr Head explained the company's position to Bundy (i.e. a conflict of interest) but neglected to say the company was in serious trouble. Bundy signed the guarantee and charge form. Lloyds foreclosed on the house when the money was not paid, and Bundy had a heart attack in the witness box. The question was whether the contract leading to the repossession of the house was voidable for some iniquitous pressure. The court held that  the contract was voidable due to the unequal bargaining position in which Mr Bundy had found himself. He held that undue influence was a category of a wider class where the balance of power between the parties was such as to merit the interference of the court. It was apparent that Mr Bundy had, without independent advice entered the contract and it was very unfair and pressures were brought to bear by the bank.</w:t>
      </w:r>
    </w:p>
    <w:p w:rsidR="005314DF" w:rsidRPr="0021164D" w:rsidRDefault="005314DF" w:rsidP="00E717C8">
      <w:pPr>
        <w:pStyle w:val="ListParagraph"/>
        <w:numPr>
          <w:ilvl w:val="0"/>
          <w:numId w:val="10"/>
        </w:numPr>
        <w:rPr>
          <w:rFonts w:ascii="Times New Roman" w:hAnsi="Times New Roman" w:cs="Times New Roman"/>
          <w:sz w:val="24"/>
          <w:szCs w:val="24"/>
          <w:u w:val="single"/>
        </w:rPr>
      </w:pPr>
      <w:r w:rsidRPr="0021164D">
        <w:rPr>
          <w:rFonts w:ascii="Times New Roman" w:hAnsi="Times New Roman" w:cs="Times New Roman"/>
          <w:sz w:val="24"/>
          <w:szCs w:val="24"/>
        </w:rPr>
        <w:t xml:space="preserve">Pelech v. Pelech: </w:t>
      </w:r>
      <w:r w:rsidR="00C92968" w:rsidRPr="0021164D">
        <w:rPr>
          <w:rFonts w:ascii="Times New Roman" w:hAnsi="Times New Roman" w:cs="Times New Roman"/>
          <w:sz w:val="24"/>
          <w:szCs w:val="24"/>
        </w:rPr>
        <w:t xml:space="preserve"> A case concerning a separation and divorce agreement and the delegation of appropriate assets (ex: legal rights over children, financial support, value of property, other assets). The wife worked a s a receptionist and bookkeeper for the Pelech’s business. </w:t>
      </w:r>
      <w:r w:rsidR="00BF377B" w:rsidRPr="0021164D">
        <w:rPr>
          <w:rFonts w:ascii="Times New Roman" w:hAnsi="Times New Roman" w:cs="Times New Roman"/>
          <w:sz w:val="24"/>
          <w:szCs w:val="24"/>
        </w:rPr>
        <w:t xml:space="preserve">Since the business’ profits went directly to the family account, Mrs. Pelech did not see the need to have a salary since the business revenue went directly to the family as a whole. Mrs. Pelech was not any point considered a partner of the business; as a result, she was not entitled to any of the business assets.  At the end of the divorce hearing the property value was split between the two, however the business assets and most rights to the children were given to the husband for </w:t>
      </w:r>
      <w:proofErr w:type="spellStart"/>
      <w:r w:rsidR="00BF377B" w:rsidRPr="0021164D">
        <w:rPr>
          <w:rFonts w:ascii="Times New Roman" w:hAnsi="Times New Roman" w:cs="Times New Roman"/>
          <w:sz w:val="24"/>
          <w:szCs w:val="24"/>
        </w:rPr>
        <w:t>mrs.</w:t>
      </w:r>
      <w:proofErr w:type="spellEnd"/>
      <w:r w:rsidR="00BF377B" w:rsidRPr="0021164D">
        <w:rPr>
          <w:rFonts w:ascii="Times New Roman" w:hAnsi="Times New Roman" w:cs="Times New Roman"/>
          <w:sz w:val="24"/>
          <w:szCs w:val="24"/>
        </w:rPr>
        <w:t xml:space="preserve"> Pelech was seen as mentally unstable at the time. A few years after the divorce Mr. Pelech’s business had been doing exceptionally well whilst Mrs. Pelech’s health had been rapidly deteriorating—causing her to use up all her allotted divorce funds and her own personal funds. Since at this stage in her life she was unable to get a job she decided to reopen the case between her and her formal husband to obtain more maintenance fees that she claimed she needed to survive. The court which entertained this request ruled that need was not a sufficient reason to reopen the contract and that Mr. Pelech was not to be held financially liable for how his former wife developed after the divorce. </w:t>
      </w:r>
    </w:p>
    <w:p w:rsidR="009F05AC" w:rsidRPr="0021164D" w:rsidRDefault="009F05AC" w:rsidP="00EF671B">
      <w:pPr>
        <w:rPr>
          <w:rFonts w:ascii="Times New Roman" w:hAnsi="Times New Roman" w:cs="Times New Roman"/>
          <w:sz w:val="24"/>
          <w:szCs w:val="24"/>
          <w:u w:val="single"/>
        </w:rPr>
      </w:pPr>
    </w:p>
    <w:p w:rsidR="000F56ED" w:rsidRPr="0021164D" w:rsidRDefault="000F56ED"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lastRenderedPageBreak/>
        <w:t xml:space="preserve">Chapter Three: </w:t>
      </w:r>
    </w:p>
    <w:p w:rsidR="005314DF" w:rsidRPr="0021164D" w:rsidRDefault="005314DF" w:rsidP="00987C5B">
      <w:pPr>
        <w:pStyle w:val="ListParagraph"/>
        <w:numPr>
          <w:ilvl w:val="0"/>
          <w:numId w:val="8"/>
        </w:numPr>
        <w:rPr>
          <w:rFonts w:ascii="Times New Roman" w:hAnsi="Times New Roman" w:cs="Times New Roman"/>
          <w:sz w:val="24"/>
          <w:szCs w:val="24"/>
        </w:rPr>
      </w:pPr>
      <w:r w:rsidRPr="0021164D">
        <w:rPr>
          <w:rFonts w:ascii="Times New Roman" w:hAnsi="Times New Roman" w:cs="Times New Roman"/>
          <w:sz w:val="24"/>
          <w:szCs w:val="24"/>
        </w:rPr>
        <w:t xml:space="preserve">Hadley v. Baxendale: </w:t>
      </w:r>
      <w:r w:rsidR="00987C5B" w:rsidRPr="0021164D">
        <w:rPr>
          <w:rFonts w:ascii="Times New Roman" w:hAnsi="Times New Roman" w:cs="Times New Roman"/>
          <w:sz w:val="24"/>
          <w:szCs w:val="24"/>
        </w:rPr>
        <w:t>Plaintiffs operated a mill, and a component of their steam engine broke causing them to shut down the mill. Plaintiffs then contracted with Defendants, common carriers, to take the component to W. Joyce &amp; Co. to have a new part created. When delivery was delayed due to Defendants’ neglect, causing Plaintiffs’ mill to remain closed longer than expected, Plaintiffs sued to recover damages. Thus the legal issue being disputed in this case was whether defendants are liable to Plaintiffs for damages suffered by Plaintiffs due to lost profits? The court which looked at this decision ruled that damages are limited to those that arise naturally from a breach and those that are reasonably contemplated by the parties at the time of contracting.</w:t>
      </w:r>
    </w:p>
    <w:p w:rsidR="00E717C8" w:rsidRPr="0021164D" w:rsidRDefault="00E717C8" w:rsidP="005314DF">
      <w:pPr>
        <w:pStyle w:val="ListParagraph"/>
        <w:numPr>
          <w:ilvl w:val="0"/>
          <w:numId w:val="8"/>
        </w:numPr>
        <w:rPr>
          <w:rFonts w:ascii="Times New Roman" w:hAnsi="Times New Roman" w:cs="Times New Roman"/>
          <w:sz w:val="24"/>
          <w:szCs w:val="24"/>
        </w:rPr>
      </w:pPr>
      <w:r w:rsidRPr="0021164D">
        <w:rPr>
          <w:rFonts w:ascii="Times New Roman" w:hAnsi="Times New Roman" w:cs="Times New Roman"/>
          <w:sz w:val="24"/>
          <w:szCs w:val="24"/>
        </w:rPr>
        <w:t>An analysis of the Hadley v. Baxendale case by Richard Danzig</w:t>
      </w:r>
    </w:p>
    <w:p w:rsidR="005314DF" w:rsidRPr="0021164D" w:rsidRDefault="005314DF" w:rsidP="004A2CFF">
      <w:pPr>
        <w:pStyle w:val="ListParagraph"/>
        <w:numPr>
          <w:ilvl w:val="0"/>
          <w:numId w:val="8"/>
        </w:numPr>
        <w:rPr>
          <w:rFonts w:ascii="Times New Roman" w:hAnsi="Times New Roman" w:cs="Times New Roman"/>
          <w:sz w:val="24"/>
          <w:szCs w:val="24"/>
        </w:rPr>
      </w:pPr>
      <w:r w:rsidRPr="0021164D">
        <w:rPr>
          <w:rFonts w:ascii="Times New Roman" w:hAnsi="Times New Roman" w:cs="Times New Roman"/>
          <w:sz w:val="24"/>
          <w:szCs w:val="24"/>
        </w:rPr>
        <w:t xml:space="preserve">Peevyhouse v. Garland Coal &amp; Mining Company: </w:t>
      </w:r>
      <w:r w:rsidR="004A2CFF" w:rsidRPr="0021164D">
        <w:rPr>
          <w:rFonts w:ascii="Times New Roman" w:hAnsi="Times New Roman" w:cs="Times New Roman"/>
          <w:sz w:val="24"/>
          <w:szCs w:val="24"/>
        </w:rPr>
        <w:t xml:space="preserve">Plaintiffs leased their farmland to Defendant for strip mining on the condition that Defendant fill in the holes Defendant made after the completion of the mining. Defendant did not fill in the holes. The legal issue being disputed in this case was whether the defendant is to be held legally liable for the costs of remedial work for the damaged property. </w:t>
      </w:r>
    </w:p>
    <w:p w:rsidR="000F56ED" w:rsidRPr="0021164D" w:rsidRDefault="000F56ED" w:rsidP="00EF671B">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Four: </w:t>
      </w:r>
    </w:p>
    <w:p w:rsidR="002B6AFF" w:rsidRPr="0021164D" w:rsidRDefault="002B6AFF" w:rsidP="00A44420">
      <w:pPr>
        <w:pStyle w:val="ListParagraph"/>
        <w:numPr>
          <w:ilvl w:val="0"/>
          <w:numId w:val="28"/>
        </w:numPr>
        <w:rPr>
          <w:rFonts w:ascii="Times New Roman" w:hAnsi="Times New Roman" w:cs="Times New Roman"/>
          <w:sz w:val="24"/>
          <w:szCs w:val="24"/>
          <w:u w:val="single"/>
        </w:rPr>
      </w:pPr>
      <w:r w:rsidRPr="0021164D">
        <w:rPr>
          <w:rFonts w:ascii="Times New Roman" w:hAnsi="Times New Roman" w:cs="Times New Roman"/>
          <w:sz w:val="24"/>
          <w:szCs w:val="24"/>
        </w:rPr>
        <w:t>The</w:t>
      </w:r>
      <w:r w:rsidR="00A44420">
        <w:rPr>
          <w:rFonts w:ascii="Times New Roman" w:hAnsi="Times New Roman" w:cs="Times New Roman"/>
          <w:sz w:val="24"/>
          <w:szCs w:val="24"/>
        </w:rPr>
        <w:t xml:space="preserve"> Functions of Tort Law: </w:t>
      </w:r>
      <w:r w:rsidR="00A44420" w:rsidRPr="00A44420">
        <w:rPr>
          <w:rFonts w:ascii="Times New Roman" w:hAnsi="Times New Roman" w:cs="Times New Roman"/>
          <w:sz w:val="24"/>
          <w:szCs w:val="24"/>
        </w:rPr>
        <w:t>A body of rights, obligations, and remedies that is applied by courts in civil proceedings to provide relief for persons who have suffered harm from the wrongful acts of others. The person who sustains injury or suffers pecuniary damage as the result of tortious conduct is known as the plaintiff, and the person who is responsible for inflicting the injury and incurs liability for the damage is known as the defendant</w:t>
      </w:r>
      <w:r w:rsidR="00A44420">
        <w:rPr>
          <w:rFonts w:ascii="Times New Roman" w:hAnsi="Times New Roman" w:cs="Times New Roman"/>
          <w:sz w:val="24"/>
          <w:szCs w:val="24"/>
        </w:rPr>
        <w:t xml:space="preserve">. </w:t>
      </w:r>
      <w:r w:rsidR="002703D4">
        <w:rPr>
          <w:rFonts w:ascii="Times New Roman" w:hAnsi="Times New Roman" w:cs="Times New Roman"/>
          <w:sz w:val="24"/>
          <w:szCs w:val="24"/>
        </w:rPr>
        <w:t xml:space="preserve">Torts are meant to serve several functions as well according to the author of this article; they are as follows: compensation (compensate those who were harmed due to contractual breach), deterrence (deter future torts in holding defendants liable), education (tort hearings educate the public what actions are not permissible and punishable in a court of law),  psychological (provide appeasement to those who were injured  by the wrongful conduct committed against them), market deterrence (lowers accidents costs by making those activities which are accident prone more expensive by requiring them to bear full costs of the mishaps they produce). </w:t>
      </w:r>
      <w:bookmarkStart w:id="0" w:name="_GoBack"/>
      <w:bookmarkEnd w:id="0"/>
    </w:p>
    <w:p w:rsidR="002B6AFF" w:rsidRPr="0021164D" w:rsidRDefault="002B6AFF" w:rsidP="002B6AFF">
      <w:pPr>
        <w:pStyle w:val="ListParagraph"/>
        <w:numPr>
          <w:ilvl w:val="0"/>
          <w:numId w:val="28"/>
        </w:numPr>
        <w:rPr>
          <w:rFonts w:ascii="Times New Roman" w:hAnsi="Times New Roman" w:cs="Times New Roman"/>
          <w:sz w:val="24"/>
          <w:szCs w:val="24"/>
          <w:u w:val="single"/>
        </w:rPr>
      </w:pPr>
      <w:r w:rsidRPr="0021164D">
        <w:rPr>
          <w:rFonts w:ascii="Times New Roman" w:hAnsi="Times New Roman" w:cs="Times New Roman"/>
          <w:sz w:val="24"/>
          <w:szCs w:val="24"/>
        </w:rPr>
        <w:t xml:space="preserve">Some Recent Obituaries of Tort Law: </w:t>
      </w:r>
    </w:p>
    <w:p w:rsidR="002B6AFF" w:rsidRPr="0021164D" w:rsidRDefault="002B6AFF" w:rsidP="002B6AFF">
      <w:pPr>
        <w:pStyle w:val="ListParagraph"/>
        <w:numPr>
          <w:ilvl w:val="0"/>
          <w:numId w:val="28"/>
        </w:numPr>
        <w:rPr>
          <w:rFonts w:ascii="Times New Roman" w:hAnsi="Times New Roman" w:cs="Times New Roman"/>
          <w:sz w:val="24"/>
          <w:szCs w:val="24"/>
          <w:u w:val="single"/>
        </w:rPr>
      </w:pPr>
      <w:r w:rsidRPr="0021164D">
        <w:rPr>
          <w:rFonts w:ascii="Times New Roman" w:hAnsi="Times New Roman" w:cs="Times New Roman"/>
          <w:sz w:val="24"/>
          <w:szCs w:val="24"/>
        </w:rPr>
        <w:t xml:space="preserve">The Future of Tort Law; Mapping the Contours of the Debate: </w:t>
      </w:r>
    </w:p>
    <w:p w:rsidR="001A28F2" w:rsidRPr="0021164D" w:rsidRDefault="000D2617"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Five: </w:t>
      </w:r>
    </w:p>
    <w:p w:rsidR="000D2617" w:rsidRPr="0021164D" w:rsidRDefault="000D2617" w:rsidP="006658B8">
      <w:pPr>
        <w:rPr>
          <w:rFonts w:ascii="Times New Roman" w:hAnsi="Times New Roman" w:cs="Times New Roman"/>
          <w:sz w:val="24"/>
          <w:szCs w:val="24"/>
        </w:rPr>
      </w:pPr>
      <w:r w:rsidRPr="0021164D">
        <w:rPr>
          <w:rFonts w:ascii="Times New Roman" w:hAnsi="Times New Roman" w:cs="Times New Roman"/>
          <w:sz w:val="24"/>
          <w:szCs w:val="24"/>
        </w:rPr>
        <w:t xml:space="preserve">b) Pitman Estates v. Bain, Toronto Hospital and Canadian Red Cross Society: </w:t>
      </w:r>
      <w:r w:rsidR="006658B8" w:rsidRPr="0021164D">
        <w:rPr>
          <w:rFonts w:ascii="Times New Roman" w:hAnsi="Times New Roman" w:cs="Times New Roman"/>
          <w:sz w:val="24"/>
          <w:szCs w:val="24"/>
        </w:rPr>
        <w:t xml:space="preserve"> Sometime during 1984, Mr. Pittman had undergone blood transfusions in a Toronto hospital.  the individual whose blood was donated to Mr. Pittman was HIV positive. This became known after the transfusion process involving Mr. Pittman. The Red Cross traced the source of this blood donation and </w:t>
      </w:r>
      <w:r w:rsidR="006658B8" w:rsidRPr="0021164D">
        <w:rPr>
          <w:rFonts w:ascii="Times New Roman" w:hAnsi="Times New Roman" w:cs="Times New Roman"/>
          <w:sz w:val="24"/>
          <w:szCs w:val="24"/>
        </w:rPr>
        <w:lastRenderedPageBreak/>
        <w:t>informed both the blood donor and the hospital in which this process took place that the donor has HIV and the donated tainted blood. the hospital then informs Mr. Pittman’s personal physician, Dr. Bain that his client had been transfused with tainted blood. The physician did not inform Mr. Pittman of this information when he received it around 1989 and a year after, Mr. Pittman had died due to pneumonia complications which may or may not have been a result of the HIV virus he was infused with. Shortly after, Mr. Pittman’s wife is tested HIV positive in 1990. Finding this out, she goes to sue the physician, the blood donation institution, and the hospital on behalf of the late Mr. Pittman (because his state is still in existence) and herself. Ms. Pittman received a judgment of liability for $500,000 on the terms of the delay in look back on behalf of all parties in involving Mr. Pittman about the risks of being transfused with contaminated blood</w:t>
      </w:r>
    </w:p>
    <w:p w:rsidR="000D2617" w:rsidRPr="0021164D" w:rsidRDefault="000D2617" w:rsidP="00D6363C">
      <w:pPr>
        <w:rPr>
          <w:rFonts w:ascii="Times New Roman" w:hAnsi="Times New Roman" w:cs="Times New Roman"/>
          <w:sz w:val="24"/>
          <w:szCs w:val="24"/>
        </w:rPr>
      </w:pPr>
      <w:r w:rsidRPr="0021164D">
        <w:rPr>
          <w:rFonts w:ascii="Times New Roman" w:hAnsi="Times New Roman" w:cs="Times New Roman"/>
          <w:sz w:val="24"/>
          <w:szCs w:val="24"/>
        </w:rPr>
        <w:t xml:space="preserve">c) Jordan House v. </w:t>
      </w:r>
      <w:proofErr w:type="spellStart"/>
      <w:r w:rsidRPr="0021164D">
        <w:rPr>
          <w:rFonts w:ascii="Times New Roman" w:hAnsi="Times New Roman" w:cs="Times New Roman"/>
          <w:sz w:val="24"/>
          <w:szCs w:val="24"/>
        </w:rPr>
        <w:t>Menow</w:t>
      </w:r>
      <w:proofErr w:type="spellEnd"/>
      <w:r w:rsidRPr="0021164D">
        <w:rPr>
          <w:rFonts w:ascii="Times New Roman" w:hAnsi="Times New Roman" w:cs="Times New Roman"/>
          <w:sz w:val="24"/>
          <w:szCs w:val="24"/>
        </w:rPr>
        <w:t xml:space="preserve">: </w:t>
      </w:r>
      <w:r w:rsidR="006658B8" w:rsidRPr="0021164D">
        <w:rPr>
          <w:rFonts w:ascii="Times New Roman" w:hAnsi="Times New Roman" w:cs="Times New Roman"/>
          <w:sz w:val="24"/>
          <w:szCs w:val="24"/>
        </w:rPr>
        <w:t xml:space="preserve"> Is a landmark decision of the Supreme Court of Canada on the commercial host liability where the Court held that a bar owner has a duty to reasonably ensure their intoxicated patrons are able to make it home safely. </w:t>
      </w:r>
      <w:proofErr w:type="spellStart"/>
      <w:r w:rsidR="006658B8" w:rsidRPr="0021164D">
        <w:rPr>
          <w:rFonts w:ascii="Times New Roman" w:hAnsi="Times New Roman" w:cs="Times New Roman"/>
          <w:sz w:val="24"/>
          <w:szCs w:val="24"/>
        </w:rPr>
        <w:t>Menow</w:t>
      </w:r>
      <w:proofErr w:type="spellEnd"/>
      <w:r w:rsidR="006658B8" w:rsidRPr="0021164D">
        <w:rPr>
          <w:rFonts w:ascii="Times New Roman" w:hAnsi="Times New Roman" w:cs="Times New Roman"/>
          <w:sz w:val="24"/>
          <w:szCs w:val="24"/>
        </w:rPr>
        <w:t xml:space="preserve"> had a reputation of behaving badly and was banned from the Jordan House Hotel for drunken behavior. Eventually he was allowed back and was allowed to be served alcohol on the condition that he be escorted by a responsible adult. On a later night he went to the hotel bar but was abandoned by his escort for three hours while he was served drinks. He became extremely intoxicated and began to harass other patrons. </w:t>
      </w:r>
      <w:proofErr w:type="spellStart"/>
      <w:r w:rsidR="006658B8" w:rsidRPr="0021164D">
        <w:rPr>
          <w:rFonts w:ascii="Times New Roman" w:hAnsi="Times New Roman" w:cs="Times New Roman"/>
          <w:sz w:val="24"/>
          <w:szCs w:val="24"/>
        </w:rPr>
        <w:t>Menow</w:t>
      </w:r>
      <w:proofErr w:type="spellEnd"/>
      <w:r w:rsidR="006658B8" w:rsidRPr="0021164D">
        <w:rPr>
          <w:rFonts w:ascii="Times New Roman" w:hAnsi="Times New Roman" w:cs="Times New Roman"/>
          <w:sz w:val="24"/>
          <w:szCs w:val="24"/>
        </w:rPr>
        <w:t xml:space="preserve"> was soon ejected from the hotel bar and started to make his way home down a highway but was hit by a car. </w:t>
      </w:r>
      <w:proofErr w:type="spellStart"/>
      <w:r w:rsidR="006658B8" w:rsidRPr="0021164D">
        <w:rPr>
          <w:rFonts w:ascii="Times New Roman" w:hAnsi="Times New Roman" w:cs="Times New Roman"/>
          <w:sz w:val="24"/>
          <w:szCs w:val="24"/>
        </w:rPr>
        <w:t>Menow</w:t>
      </w:r>
      <w:proofErr w:type="spellEnd"/>
      <w:r w:rsidR="006658B8" w:rsidRPr="0021164D">
        <w:rPr>
          <w:rFonts w:ascii="Times New Roman" w:hAnsi="Times New Roman" w:cs="Times New Roman"/>
          <w:sz w:val="24"/>
          <w:szCs w:val="24"/>
        </w:rPr>
        <w:t xml:space="preserve"> brought an action against the hotel in tort for violating their duty of care by serving him alcohol and not ensuring he was safe when he left the hotel. At trial, the court held that the hotel violated a common law duty of care to protect patrons from "danger of personal injury, foreseeable as a result of the eviction". The duty, the trial judge found, could have easily been discharged by calling the police or arrange for a safe way home. The Supreme Court upheld much of the trial judge's ruling. Ritchie J. found that the hotel was aware of </w:t>
      </w:r>
      <w:proofErr w:type="spellStart"/>
      <w:r w:rsidR="006658B8" w:rsidRPr="0021164D">
        <w:rPr>
          <w:rFonts w:ascii="Times New Roman" w:hAnsi="Times New Roman" w:cs="Times New Roman"/>
          <w:sz w:val="24"/>
          <w:szCs w:val="24"/>
        </w:rPr>
        <w:t>Menow's</w:t>
      </w:r>
      <w:proofErr w:type="spellEnd"/>
      <w:r w:rsidR="006658B8" w:rsidRPr="0021164D">
        <w:rPr>
          <w:rFonts w:ascii="Times New Roman" w:hAnsi="Times New Roman" w:cs="Times New Roman"/>
          <w:sz w:val="24"/>
          <w:szCs w:val="24"/>
        </w:rPr>
        <w:t xml:space="preserve"> behaviour yet still assisted him in becoming intoxicated, which they ought to have known might result in danger to </w:t>
      </w:r>
      <w:proofErr w:type="spellStart"/>
      <w:r w:rsidR="006658B8" w:rsidRPr="0021164D">
        <w:rPr>
          <w:rFonts w:ascii="Times New Roman" w:hAnsi="Times New Roman" w:cs="Times New Roman"/>
          <w:sz w:val="24"/>
          <w:szCs w:val="24"/>
        </w:rPr>
        <w:t>Menow</w:t>
      </w:r>
      <w:proofErr w:type="spellEnd"/>
      <w:r w:rsidR="006658B8" w:rsidRPr="0021164D">
        <w:rPr>
          <w:rFonts w:ascii="Times New Roman" w:hAnsi="Times New Roman" w:cs="Times New Roman"/>
          <w:sz w:val="24"/>
          <w:szCs w:val="24"/>
        </w:rPr>
        <w:t xml:space="preserve">. This awareness should have "seized them with a duty to be careful not to serve him with repeated drinks after the effects of what he had already consumed should have been obvious." The breach of duty was a result of both a failure to protect </w:t>
      </w:r>
      <w:proofErr w:type="spellStart"/>
      <w:r w:rsidR="006658B8" w:rsidRPr="0021164D">
        <w:rPr>
          <w:rFonts w:ascii="Times New Roman" w:hAnsi="Times New Roman" w:cs="Times New Roman"/>
          <w:sz w:val="24"/>
          <w:szCs w:val="24"/>
        </w:rPr>
        <w:t>Menow</w:t>
      </w:r>
      <w:proofErr w:type="spellEnd"/>
      <w:r w:rsidR="006658B8" w:rsidRPr="0021164D">
        <w:rPr>
          <w:rFonts w:ascii="Times New Roman" w:hAnsi="Times New Roman" w:cs="Times New Roman"/>
          <w:sz w:val="24"/>
          <w:szCs w:val="24"/>
        </w:rPr>
        <w:t xml:space="preserve"> once he became intoxicated and a failure to ensure he did not become intoxicated in the first place.</w:t>
      </w:r>
    </w:p>
    <w:p w:rsidR="000D2617" w:rsidRPr="0021164D" w:rsidRDefault="000D2617" w:rsidP="00D6363C">
      <w:pPr>
        <w:rPr>
          <w:rFonts w:ascii="Times New Roman" w:hAnsi="Times New Roman" w:cs="Times New Roman"/>
          <w:sz w:val="24"/>
          <w:szCs w:val="24"/>
        </w:rPr>
      </w:pPr>
      <w:r w:rsidRPr="0021164D">
        <w:rPr>
          <w:rFonts w:ascii="Times New Roman" w:hAnsi="Times New Roman" w:cs="Times New Roman"/>
          <w:sz w:val="24"/>
          <w:szCs w:val="24"/>
        </w:rPr>
        <w:t xml:space="preserve">d) Stewart v. </w:t>
      </w:r>
      <w:proofErr w:type="spellStart"/>
      <w:r w:rsidRPr="0021164D">
        <w:rPr>
          <w:rFonts w:ascii="Times New Roman" w:hAnsi="Times New Roman" w:cs="Times New Roman"/>
          <w:sz w:val="24"/>
          <w:szCs w:val="24"/>
        </w:rPr>
        <w:t>Pettie</w:t>
      </w:r>
      <w:proofErr w:type="spellEnd"/>
      <w:r w:rsidRPr="0021164D">
        <w:rPr>
          <w:rFonts w:ascii="Times New Roman" w:hAnsi="Times New Roman" w:cs="Times New Roman"/>
          <w:sz w:val="24"/>
          <w:szCs w:val="24"/>
        </w:rPr>
        <w:t xml:space="preserve">: </w:t>
      </w:r>
      <w:r w:rsidR="006658B8" w:rsidRPr="0021164D">
        <w:rPr>
          <w:rFonts w:ascii="Times New Roman" w:hAnsi="Times New Roman" w:cs="Times New Roman"/>
          <w:sz w:val="24"/>
          <w:szCs w:val="24"/>
        </w:rPr>
        <w:t xml:space="preserve">is leading decision of the Supreme Court of Canada on the duty of care owed by commercial establishments serving liquor. In December 1985, two couples, Gillian and Keith Stewart and Stuart and Shelley </w:t>
      </w:r>
      <w:proofErr w:type="spellStart"/>
      <w:r w:rsidR="006658B8" w:rsidRPr="0021164D">
        <w:rPr>
          <w:rFonts w:ascii="Times New Roman" w:hAnsi="Times New Roman" w:cs="Times New Roman"/>
          <w:sz w:val="24"/>
          <w:szCs w:val="24"/>
        </w:rPr>
        <w:t>Pettie</w:t>
      </w:r>
      <w:proofErr w:type="spellEnd"/>
      <w:r w:rsidR="006658B8" w:rsidRPr="0021164D">
        <w:rPr>
          <w:rFonts w:ascii="Times New Roman" w:hAnsi="Times New Roman" w:cs="Times New Roman"/>
          <w:sz w:val="24"/>
          <w:szCs w:val="24"/>
        </w:rPr>
        <w:t xml:space="preserve">, went to a dinner theatre in Edmonton. At dinner Stuart was served a number of rum-and-cokes but showed no signs of intoxication. Afterwards the four discussed who should drive and Stuart insisted he was fit to drive, and so they agreed to let him drive. On the way back Stuart got them in an accident. Among the injuries, Gillian was rendered quadriplegic. At trial the judge found that the dinner theatre could not have been aware of Stuart's degree of intoxication and did not impose liability based solely on the number of </w:t>
      </w:r>
      <w:r w:rsidR="006658B8" w:rsidRPr="0021164D">
        <w:rPr>
          <w:rFonts w:ascii="Times New Roman" w:hAnsi="Times New Roman" w:cs="Times New Roman"/>
          <w:sz w:val="24"/>
          <w:szCs w:val="24"/>
        </w:rPr>
        <w:lastRenderedPageBreak/>
        <w:t>drinks served. On appeal the Court of Appeal overturned the decision and allocated 10% liability to the theatre. The court held that the Mayfield investments (owners of the theatre) did not breach the duty that they owed to Gillian Stewart.</w:t>
      </w:r>
    </w:p>
    <w:p w:rsidR="000D2617" w:rsidRPr="0021164D" w:rsidRDefault="000D2617" w:rsidP="00D6363C">
      <w:pPr>
        <w:rPr>
          <w:rFonts w:ascii="Times New Roman" w:hAnsi="Times New Roman" w:cs="Times New Roman"/>
          <w:sz w:val="24"/>
          <w:szCs w:val="24"/>
        </w:rPr>
      </w:pPr>
      <w:r w:rsidRPr="0021164D">
        <w:rPr>
          <w:rFonts w:ascii="Times New Roman" w:hAnsi="Times New Roman" w:cs="Times New Roman"/>
          <w:sz w:val="24"/>
          <w:szCs w:val="24"/>
        </w:rPr>
        <w:t xml:space="preserve">e) Childs v. Desormeaux: </w:t>
      </w:r>
      <w:r w:rsidR="006658B8" w:rsidRPr="0021164D">
        <w:rPr>
          <w:rFonts w:ascii="Times New Roman" w:hAnsi="Times New Roman" w:cs="Times New Roman"/>
          <w:sz w:val="24"/>
          <w:szCs w:val="24"/>
        </w:rPr>
        <w:t xml:space="preserve">is a Supreme Court of Canada decision on the topic of social host liability. The Court held that a social host does not owe a duty of care to a person injured by a guest who has consumed alcohol. Julie Zimmerman and Dwight </w:t>
      </w:r>
      <w:proofErr w:type="spellStart"/>
      <w:r w:rsidR="006658B8" w:rsidRPr="0021164D">
        <w:rPr>
          <w:rFonts w:ascii="Times New Roman" w:hAnsi="Times New Roman" w:cs="Times New Roman"/>
          <w:sz w:val="24"/>
          <w:szCs w:val="24"/>
        </w:rPr>
        <w:t>Courrier</w:t>
      </w:r>
      <w:proofErr w:type="spellEnd"/>
      <w:r w:rsidR="006658B8" w:rsidRPr="0021164D">
        <w:rPr>
          <w:rFonts w:ascii="Times New Roman" w:hAnsi="Times New Roman" w:cs="Times New Roman"/>
          <w:sz w:val="24"/>
          <w:szCs w:val="24"/>
        </w:rPr>
        <w:t xml:space="preserve"> hosted a New Year's pot-luck dinner to which guests were to bring their own alcohol. Desmond Desormeaux, a guest at the party and long-time heavy drinker, drank approximately 12 beers in over 2 and half hours that evening. According to the version of events accepted by both sides, the hosts did not monitor his drinking more closely than the drinking of the other guests. Desormeaux drove home after a brief conversation with </w:t>
      </w:r>
      <w:proofErr w:type="spellStart"/>
      <w:r w:rsidR="006658B8" w:rsidRPr="0021164D">
        <w:rPr>
          <w:rFonts w:ascii="Times New Roman" w:hAnsi="Times New Roman" w:cs="Times New Roman"/>
          <w:sz w:val="24"/>
          <w:szCs w:val="24"/>
        </w:rPr>
        <w:t>Courrier</w:t>
      </w:r>
      <w:proofErr w:type="spellEnd"/>
      <w:r w:rsidR="006658B8" w:rsidRPr="0021164D">
        <w:rPr>
          <w:rFonts w:ascii="Times New Roman" w:hAnsi="Times New Roman" w:cs="Times New Roman"/>
          <w:sz w:val="24"/>
          <w:szCs w:val="24"/>
        </w:rPr>
        <w:t xml:space="preserve">, who asked him, "Bro, are you going to be all right?". On the way home, he was involved in a car crash, paralyzing the passenger Zoë Childs and killing another passenger. The trial judge at the Ontario Superior Court of Justice found that the injury to Childs was reasonably foreseeable, that is, a reasonable person in the position of Mr. </w:t>
      </w:r>
      <w:proofErr w:type="spellStart"/>
      <w:r w:rsidR="006658B8" w:rsidRPr="0021164D">
        <w:rPr>
          <w:rFonts w:ascii="Times New Roman" w:hAnsi="Times New Roman" w:cs="Times New Roman"/>
          <w:sz w:val="24"/>
          <w:szCs w:val="24"/>
        </w:rPr>
        <w:t>Courrier</w:t>
      </w:r>
      <w:proofErr w:type="spellEnd"/>
      <w:r w:rsidR="006658B8" w:rsidRPr="0021164D">
        <w:rPr>
          <w:rFonts w:ascii="Times New Roman" w:hAnsi="Times New Roman" w:cs="Times New Roman"/>
          <w:sz w:val="24"/>
          <w:szCs w:val="24"/>
        </w:rPr>
        <w:t xml:space="preserve"> and Ms. Zimmerman would have foreseen that Mr. Desormeaux might cause an accident and injure someone else—but refused to impose a duty of care based on public policy grounds. Like the trial court, the Court of Appeal for Ontario held that Zimmerman and </w:t>
      </w:r>
      <w:proofErr w:type="spellStart"/>
      <w:r w:rsidR="006658B8" w:rsidRPr="0021164D">
        <w:rPr>
          <w:rFonts w:ascii="Times New Roman" w:hAnsi="Times New Roman" w:cs="Times New Roman"/>
          <w:sz w:val="24"/>
          <w:szCs w:val="24"/>
        </w:rPr>
        <w:t>Courrier</w:t>
      </w:r>
      <w:proofErr w:type="spellEnd"/>
      <w:r w:rsidR="006658B8" w:rsidRPr="0021164D">
        <w:rPr>
          <w:rFonts w:ascii="Times New Roman" w:hAnsi="Times New Roman" w:cs="Times New Roman"/>
          <w:sz w:val="24"/>
          <w:szCs w:val="24"/>
        </w:rPr>
        <w:t xml:space="preserve"> did not owe a duty of care to Childs, but for different reasons: the relationship between the hosts and the guest was not proximate enough to ground a duty of care</w:t>
      </w:r>
    </w:p>
    <w:p w:rsidR="000D2617" w:rsidRPr="0021164D" w:rsidRDefault="000D2617" w:rsidP="00D6363C">
      <w:pPr>
        <w:rPr>
          <w:rFonts w:ascii="Times New Roman" w:hAnsi="Times New Roman" w:cs="Times New Roman"/>
          <w:sz w:val="24"/>
          <w:szCs w:val="24"/>
        </w:rPr>
      </w:pPr>
      <w:r w:rsidRPr="0021164D">
        <w:rPr>
          <w:rFonts w:ascii="Times New Roman" w:hAnsi="Times New Roman" w:cs="Times New Roman"/>
          <w:sz w:val="24"/>
          <w:szCs w:val="24"/>
        </w:rPr>
        <w:t xml:space="preserve">f) Dobson (Litigation Guardian of) v. Dobson: </w:t>
      </w:r>
      <w:r w:rsidR="006658B8" w:rsidRPr="0021164D">
        <w:rPr>
          <w:rFonts w:ascii="Times New Roman" w:hAnsi="Times New Roman" w:cs="Times New Roman"/>
          <w:sz w:val="24"/>
          <w:szCs w:val="24"/>
        </w:rPr>
        <w:t xml:space="preserve"> Cynthia Dobson was a pregnant woman. While in the 27th week of pregnancy she was driving her car when her negligent actions caused a car accident. The foetus was permanently injured, and was born prematurely that day. Her son, Ryan Dobson, suffered physical and mental injuries, including cerebral palsy. His grandfather launched a tort claim for damages against his mother. Ryan was successful at the Court of Appeal, which his mother appealed. The main legal issue in this case was whether a mother should be held liable in tort for damages to her child arising from a prenatal negligent act that allegedly injured the fetus in her womb?</w:t>
      </w:r>
    </w:p>
    <w:p w:rsidR="000D2617" w:rsidRPr="0021164D" w:rsidRDefault="000D2617" w:rsidP="006658B8">
      <w:pPr>
        <w:spacing w:after="0" w:line="240" w:lineRule="auto"/>
        <w:rPr>
          <w:rFonts w:ascii="Times New Roman" w:hAnsi="Times New Roman" w:cs="Times New Roman"/>
          <w:sz w:val="24"/>
          <w:szCs w:val="24"/>
        </w:rPr>
      </w:pPr>
      <w:r w:rsidRPr="0021164D">
        <w:rPr>
          <w:rFonts w:ascii="Times New Roman" w:hAnsi="Times New Roman" w:cs="Times New Roman"/>
          <w:sz w:val="24"/>
          <w:szCs w:val="24"/>
        </w:rPr>
        <w:t xml:space="preserve">g) Helen Palsgraf v. The Long Island Railroad Company: </w:t>
      </w:r>
      <w:r w:rsidR="006658B8" w:rsidRPr="0021164D">
        <w:rPr>
          <w:rFonts w:ascii="Times New Roman" w:hAnsi="Times New Roman" w:cs="Times New Roman"/>
          <w:sz w:val="24"/>
          <w:szCs w:val="24"/>
        </w:rPr>
        <w:t xml:space="preserve"> Mrs. Palsgraf (P) was standing on a Long Island Railroad (D) train platform when two men ran to catch a train. The second man was carrying a small package containing fireworks. He was helped aboard the train by one guard on the platform and another on the train. The man dropped the package which exploded when it hit the tracks. The shock of the explosion caused scales at the other end of the platform many feet away to fall, striking and injuring Palsgraf. Palsgraf brought a personal injury lawsuit against Long Island Railroad and the railroad appealed the court’s judgment in favor of Palsgraf. The judgment was affirmed on appeal and Long Island Railroad appealed. The court held that the conduct of Long Island Railroad’s guard was wrongful in relation to the man carrying the parcel, but not in relation to Palsgraf standing far away. No one was on notice that the package contained fireworks which when dropped could harm a person as far from the zone of danger as Palsgraf. To find negligence there must first be a finding that a duty was owed and breached, and that the injury could have been avoided if the defendant had been following that duty. The orbit </w:t>
      </w:r>
      <w:r w:rsidR="006658B8" w:rsidRPr="0021164D">
        <w:rPr>
          <w:rFonts w:ascii="Times New Roman" w:hAnsi="Times New Roman" w:cs="Times New Roman"/>
          <w:sz w:val="24"/>
          <w:szCs w:val="24"/>
        </w:rPr>
        <w:lastRenderedPageBreak/>
        <w:t xml:space="preserve">of the danger or risk associated with a danger or risk is that which a reasonable person would foresee. Even if the guard had intentionally taken the package and thrown it he would not have threatened </w:t>
      </w:r>
      <w:proofErr w:type="spellStart"/>
      <w:r w:rsidR="006658B8" w:rsidRPr="0021164D">
        <w:rPr>
          <w:rFonts w:ascii="Times New Roman" w:hAnsi="Times New Roman" w:cs="Times New Roman"/>
          <w:sz w:val="24"/>
          <w:szCs w:val="24"/>
        </w:rPr>
        <w:t>Palsgraf’s</w:t>
      </w:r>
      <w:proofErr w:type="spellEnd"/>
      <w:r w:rsidR="006658B8" w:rsidRPr="0021164D">
        <w:rPr>
          <w:rFonts w:ascii="Times New Roman" w:hAnsi="Times New Roman" w:cs="Times New Roman"/>
          <w:sz w:val="24"/>
          <w:szCs w:val="24"/>
        </w:rPr>
        <w:t xml:space="preserve"> safety from the appearances of the circumstances to a reasonable person. Long Island Railroad’s liability for an inadvertent or unintentional act cannot be greater than it would be if the act had been intentional. There are two notable legal issues which arise in this case which must be addressed: how is the duty of due care that is owed determined and to whom does a party owe the duty of due care?</w:t>
      </w:r>
      <w:r w:rsidR="00705B93">
        <w:rPr>
          <w:rFonts w:ascii="Times New Roman" w:hAnsi="Times New Roman" w:cs="Times New Roman"/>
          <w:sz w:val="24"/>
          <w:szCs w:val="24"/>
        </w:rPr>
        <w:t xml:space="preserve"> </w:t>
      </w:r>
      <w:r w:rsidR="006658B8" w:rsidRPr="0021164D">
        <w:rPr>
          <w:rFonts w:ascii="Times New Roman" w:hAnsi="Times New Roman" w:cs="Times New Roman"/>
          <w:sz w:val="24"/>
          <w:szCs w:val="24"/>
        </w:rPr>
        <w:t>There was one dissenting view to the case. Everyone owes the world at large the duty of refraining from acts that may unreasonably threaten the safety of others. In determining proximate cause the court must ask whether there was a natural and continuous sequence between the cause and effect and not whether the act would reasonably be expected to injure another. The court must consider that the greater the distance between the cause and the effect in time and space, the greater the likelihood that other causes intervene to affect the result. In this case there was no remoteness in time and little in space. Injury in some form was probable.</w:t>
      </w:r>
    </w:p>
    <w:p w:rsidR="006658B8" w:rsidRPr="0021164D" w:rsidRDefault="006658B8" w:rsidP="006658B8">
      <w:pPr>
        <w:spacing w:after="0" w:line="240" w:lineRule="auto"/>
        <w:rPr>
          <w:rFonts w:ascii="Times New Roman" w:hAnsi="Times New Roman" w:cs="Times New Roman"/>
          <w:sz w:val="24"/>
          <w:szCs w:val="24"/>
        </w:rPr>
      </w:pPr>
    </w:p>
    <w:p w:rsidR="000D2617" w:rsidRPr="0021164D" w:rsidRDefault="002B6AFF" w:rsidP="00D6363C">
      <w:pPr>
        <w:rPr>
          <w:rFonts w:ascii="Times New Roman" w:hAnsi="Times New Roman" w:cs="Times New Roman"/>
          <w:sz w:val="24"/>
          <w:szCs w:val="24"/>
        </w:rPr>
      </w:pPr>
      <w:r w:rsidRPr="0021164D">
        <w:rPr>
          <w:rFonts w:ascii="Times New Roman" w:hAnsi="Times New Roman" w:cs="Times New Roman"/>
          <w:sz w:val="24"/>
          <w:szCs w:val="24"/>
        </w:rPr>
        <w:t>l</w:t>
      </w:r>
      <w:r w:rsidR="000D2617" w:rsidRPr="0021164D">
        <w:rPr>
          <w:rFonts w:ascii="Times New Roman" w:hAnsi="Times New Roman" w:cs="Times New Roman"/>
          <w:sz w:val="24"/>
          <w:szCs w:val="24"/>
        </w:rPr>
        <w:t xml:space="preserve">) </w:t>
      </w:r>
      <w:proofErr w:type="spellStart"/>
      <w:r w:rsidR="000D2617" w:rsidRPr="0021164D">
        <w:rPr>
          <w:rFonts w:ascii="Times New Roman" w:hAnsi="Times New Roman" w:cs="Times New Roman"/>
          <w:sz w:val="24"/>
          <w:szCs w:val="24"/>
        </w:rPr>
        <w:t>Bazley</w:t>
      </w:r>
      <w:proofErr w:type="spellEnd"/>
      <w:r w:rsidR="000D2617" w:rsidRPr="0021164D">
        <w:rPr>
          <w:rFonts w:ascii="Times New Roman" w:hAnsi="Times New Roman" w:cs="Times New Roman"/>
          <w:sz w:val="24"/>
          <w:szCs w:val="24"/>
        </w:rPr>
        <w:t xml:space="preserve"> v. Curry: </w:t>
      </w:r>
      <w:r w:rsidR="006658B8" w:rsidRPr="0021164D">
        <w:rPr>
          <w:rFonts w:ascii="Times New Roman" w:hAnsi="Times New Roman" w:cs="Times New Roman"/>
          <w:sz w:val="24"/>
          <w:szCs w:val="24"/>
        </w:rPr>
        <w:t xml:space="preserve">is a Supreme Court of Canada decision on the topic of vicarious liability where the Court held that a non-profit organization may be held vicariously liable in tort law for sexual misconduct by one of its employees. The decision has widely influenced jurisprudence on vicarious liability outside of Canada. The Children's Foundation is a provincially funded, non-profit organization which operated two residential care facilities for children aged six to twelve. In April 1966, the foundation employed Leslie Charles Curry to work in its Vancouver home, where he was hired as a childcare counsellor practising "total intervention" in the lives of the children he was caring for. He worked there until March 1980, when the Foundation received a complaint. They investigated and discovered that Curry was in fact a paedophile and had been abusing the children under his care. In 1990 he was charged with 18 counts of gross indecency and two counts of buggery, and was convicted on all but one count, two of those convictions were in relation to the respondent in this case, Patrick Allen </w:t>
      </w:r>
      <w:proofErr w:type="spellStart"/>
      <w:r w:rsidR="006658B8" w:rsidRPr="0021164D">
        <w:rPr>
          <w:rFonts w:ascii="Times New Roman" w:hAnsi="Times New Roman" w:cs="Times New Roman"/>
          <w:sz w:val="24"/>
          <w:szCs w:val="24"/>
        </w:rPr>
        <w:t>Bazley</w:t>
      </w:r>
      <w:proofErr w:type="spellEnd"/>
      <w:r w:rsidR="006658B8" w:rsidRPr="0021164D">
        <w:rPr>
          <w:rFonts w:ascii="Times New Roman" w:hAnsi="Times New Roman" w:cs="Times New Roman"/>
          <w:sz w:val="24"/>
          <w:szCs w:val="24"/>
        </w:rPr>
        <w:t xml:space="preserve">. Curry died not long thereafter. In this case, </w:t>
      </w:r>
      <w:proofErr w:type="spellStart"/>
      <w:r w:rsidR="006658B8" w:rsidRPr="0021164D">
        <w:rPr>
          <w:rFonts w:ascii="Times New Roman" w:hAnsi="Times New Roman" w:cs="Times New Roman"/>
          <w:sz w:val="24"/>
          <w:szCs w:val="24"/>
        </w:rPr>
        <w:t>Bazley</w:t>
      </w:r>
      <w:proofErr w:type="spellEnd"/>
      <w:r w:rsidR="006658B8" w:rsidRPr="0021164D">
        <w:rPr>
          <w:rFonts w:ascii="Times New Roman" w:hAnsi="Times New Roman" w:cs="Times New Roman"/>
          <w:sz w:val="24"/>
          <w:szCs w:val="24"/>
        </w:rPr>
        <w:t xml:space="preserve"> sought damages from The Children's Foundation, alleging that they are vicariously liable for the misconduct of its employee. The main issue in this appeal was whether or not the Children's Foundation should be held vicariously liable for the actions of its employee. There were two questions before the court: May employers be held vicariously liable for sexual assaults on clients or persons within their care?; If so, should non-profit organizations be exempted from liability as a matter of policy?</w:t>
      </w:r>
    </w:p>
    <w:p w:rsidR="002B6AFF" w:rsidRPr="0021164D" w:rsidRDefault="002B6AFF" w:rsidP="006658B8">
      <w:pPr>
        <w:spacing w:after="0" w:line="240" w:lineRule="auto"/>
        <w:rPr>
          <w:rFonts w:ascii="Times New Roman" w:hAnsi="Times New Roman" w:cs="Times New Roman"/>
          <w:sz w:val="24"/>
          <w:szCs w:val="24"/>
        </w:rPr>
      </w:pPr>
      <w:proofErr w:type="spellStart"/>
      <w:r w:rsidRPr="0021164D">
        <w:rPr>
          <w:rFonts w:ascii="Times New Roman" w:hAnsi="Times New Roman" w:cs="Times New Roman"/>
          <w:sz w:val="24"/>
          <w:szCs w:val="24"/>
        </w:rPr>
        <w:t>i</w:t>
      </w:r>
      <w:proofErr w:type="spellEnd"/>
      <w:r w:rsidRPr="0021164D">
        <w:rPr>
          <w:rFonts w:ascii="Times New Roman" w:hAnsi="Times New Roman" w:cs="Times New Roman"/>
          <w:sz w:val="24"/>
          <w:szCs w:val="24"/>
        </w:rPr>
        <w:t xml:space="preserve">) </w:t>
      </w:r>
      <w:proofErr w:type="spellStart"/>
      <w:r w:rsidRPr="0021164D">
        <w:rPr>
          <w:rFonts w:ascii="Times New Roman" w:hAnsi="Times New Roman" w:cs="Times New Roman"/>
          <w:sz w:val="24"/>
          <w:szCs w:val="24"/>
        </w:rPr>
        <w:t>Alcock</w:t>
      </w:r>
      <w:proofErr w:type="spellEnd"/>
      <w:r w:rsidRPr="0021164D">
        <w:rPr>
          <w:rFonts w:ascii="Times New Roman" w:hAnsi="Times New Roman" w:cs="Times New Roman"/>
          <w:sz w:val="24"/>
          <w:szCs w:val="24"/>
        </w:rPr>
        <w:t xml:space="preserve"> v. Chief Constable of South Yorkshire: </w:t>
      </w:r>
      <w:r w:rsidR="006658B8" w:rsidRPr="0021164D">
        <w:rPr>
          <w:rFonts w:ascii="Times New Roman" w:hAnsi="Times New Roman" w:cs="Times New Roman"/>
          <w:sz w:val="24"/>
          <w:szCs w:val="24"/>
        </w:rPr>
        <w:t xml:space="preserve">Is considered a leading case in English Tort law related to the liability for nervous shock and or other types of psychiatric injury .The claims were brought by </w:t>
      </w:r>
      <w:proofErr w:type="spellStart"/>
      <w:r w:rsidR="006658B8" w:rsidRPr="0021164D">
        <w:rPr>
          <w:rFonts w:ascii="Times New Roman" w:hAnsi="Times New Roman" w:cs="Times New Roman"/>
          <w:sz w:val="24"/>
          <w:szCs w:val="24"/>
        </w:rPr>
        <w:t>Alcock</w:t>
      </w:r>
      <w:proofErr w:type="spellEnd"/>
      <w:r w:rsidR="006658B8" w:rsidRPr="0021164D">
        <w:rPr>
          <w:rFonts w:ascii="Times New Roman" w:hAnsi="Times New Roman" w:cs="Times New Roman"/>
          <w:sz w:val="24"/>
          <w:szCs w:val="24"/>
        </w:rPr>
        <w:t xml:space="preserve"> and several other claimants after the Hillsborough disaster in 1989, where 96 Liverpool fans died in a massive crush during the FA Cup Semi Final at Hillsborough Stadium in Sheffield. According to the Taylor Report as well as the later report of the Hillsborough Independent Panel, the accident was caused by the police negligently allowing too many supporters to crowd in one part of the stadium. Many alleged to have seen their friends and relatives die in the crush and suffered psychiatric harm or nervous shock after the incident.</w:t>
      </w:r>
    </w:p>
    <w:p w:rsidR="006658B8" w:rsidRPr="0021164D" w:rsidRDefault="006658B8" w:rsidP="006658B8">
      <w:pPr>
        <w:spacing w:after="0" w:line="240" w:lineRule="auto"/>
        <w:rPr>
          <w:rFonts w:ascii="Times New Roman" w:hAnsi="Times New Roman" w:cs="Times New Roman"/>
          <w:sz w:val="24"/>
          <w:szCs w:val="24"/>
        </w:rPr>
      </w:pPr>
    </w:p>
    <w:p w:rsidR="002B6AFF" w:rsidRPr="0021164D" w:rsidRDefault="002B6AFF" w:rsidP="00D6363C">
      <w:pPr>
        <w:rPr>
          <w:rFonts w:ascii="Times New Roman" w:hAnsi="Times New Roman" w:cs="Times New Roman"/>
          <w:sz w:val="24"/>
          <w:szCs w:val="24"/>
        </w:rPr>
      </w:pPr>
      <w:r w:rsidRPr="0021164D">
        <w:rPr>
          <w:rFonts w:ascii="Times New Roman" w:hAnsi="Times New Roman" w:cs="Times New Roman"/>
          <w:sz w:val="24"/>
          <w:szCs w:val="24"/>
        </w:rPr>
        <w:lastRenderedPageBreak/>
        <w:t>k) Clarke v. Canada:</w:t>
      </w:r>
      <w:r w:rsidR="006658B8" w:rsidRPr="0021164D">
        <w:rPr>
          <w:rFonts w:ascii="Times New Roman" w:hAnsi="Times New Roman" w:cs="Times New Roman"/>
          <w:sz w:val="24"/>
          <w:szCs w:val="24"/>
        </w:rPr>
        <w:t xml:space="preserve"> In Clark v. Canada the plaintiff, an RCMP officer, sued for negligent and intentional infliction of nervous shock. She had been harassed by her male colleagues and suffered a mental crisis as a result. Her superiors failed to come to her assistance. The court ruled in favour of Clark, saying that her higher ranked officers had owed a duty of vicarious liability to her and thus awarded Clark a remedy of special damages.</w:t>
      </w:r>
    </w:p>
    <w:p w:rsidR="000D2617" w:rsidRPr="0021164D" w:rsidRDefault="000D2617" w:rsidP="00D6363C">
      <w:pPr>
        <w:rPr>
          <w:rFonts w:ascii="Times New Roman" w:hAnsi="Times New Roman" w:cs="Times New Roman"/>
          <w:sz w:val="24"/>
          <w:szCs w:val="24"/>
          <w:u w:val="single"/>
        </w:rPr>
      </w:pPr>
      <w:r w:rsidRPr="0021164D">
        <w:rPr>
          <w:rFonts w:ascii="Times New Roman" w:hAnsi="Times New Roman" w:cs="Times New Roman"/>
          <w:sz w:val="24"/>
          <w:szCs w:val="24"/>
          <w:u w:val="single"/>
        </w:rPr>
        <w:t xml:space="preserve">Chapter Six: </w:t>
      </w:r>
    </w:p>
    <w:p w:rsidR="003D4E00" w:rsidRPr="0021164D" w:rsidRDefault="003D4E00" w:rsidP="0021164D">
      <w:pPr>
        <w:pStyle w:val="ListParagraph"/>
        <w:numPr>
          <w:ilvl w:val="1"/>
          <w:numId w:val="23"/>
        </w:numPr>
        <w:rPr>
          <w:rFonts w:ascii="Times New Roman" w:hAnsi="Times New Roman" w:cs="Times New Roman"/>
          <w:sz w:val="24"/>
          <w:szCs w:val="24"/>
        </w:rPr>
      </w:pPr>
      <w:r w:rsidRPr="0021164D">
        <w:rPr>
          <w:rFonts w:ascii="Times New Roman" w:hAnsi="Times New Roman" w:cs="Times New Roman"/>
          <w:sz w:val="24"/>
          <w:szCs w:val="24"/>
        </w:rPr>
        <w:t xml:space="preserve">Andrews v. Grand &amp; Toy Alberta Ltd.: </w:t>
      </w:r>
      <w:r w:rsidR="0021164D" w:rsidRPr="0021164D">
        <w:rPr>
          <w:rFonts w:ascii="Times New Roman" w:hAnsi="Times New Roman" w:cs="Times New Roman"/>
          <w:sz w:val="24"/>
          <w:szCs w:val="24"/>
        </w:rPr>
        <w:t>Andrews, a 21 year old man, was injured in a car accident with an employee of Grand &amp; Toy and is rendered a quadriplegic after the accident. At trial, Grand &amp; Toy were found entirely liable and damages of $1,022,477.48 were awarded. On appeal, the defendant was found 75% liable and Andrews 25% liable and damages were further reduced to $516,544.48, which was appealed to the Supreme Court.</w:t>
      </w:r>
      <w:r w:rsidR="0021164D">
        <w:rPr>
          <w:rFonts w:ascii="Times New Roman" w:hAnsi="Times New Roman" w:cs="Times New Roman"/>
          <w:sz w:val="24"/>
          <w:szCs w:val="24"/>
        </w:rPr>
        <w:t xml:space="preserve"> The issues within this course were as follows: did Andrews require home-care or should he settle for cheaper hospital care; does the court have to take onto account what the injured party might do with the awarded money?; can there be a limit on non-pecuniary damages? The court ruled in favour of Andrews, awarding him the damages he was owed. </w:t>
      </w:r>
    </w:p>
    <w:p w:rsidR="003D4E00" w:rsidRPr="0021164D" w:rsidRDefault="003D4E00" w:rsidP="003D4E00">
      <w:pPr>
        <w:pStyle w:val="ListParagraph"/>
        <w:numPr>
          <w:ilvl w:val="1"/>
          <w:numId w:val="23"/>
        </w:numPr>
        <w:rPr>
          <w:rFonts w:ascii="Times New Roman" w:hAnsi="Times New Roman" w:cs="Times New Roman"/>
          <w:sz w:val="24"/>
          <w:szCs w:val="24"/>
        </w:rPr>
      </w:pPr>
      <w:r w:rsidRPr="0021164D">
        <w:rPr>
          <w:rFonts w:ascii="Times New Roman" w:hAnsi="Times New Roman" w:cs="Times New Roman"/>
          <w:sz w:val="24"/>
          <w:szCs w:val="24"/>
        </w:rPr>
        <w:t>A Critique of American Tort Law: Author argues that tort is intimately related to the rise of capitalism as both a cause and effect. Because capitalism separates those who produce from those who own the means of production workers lose control over their own safety. Because capitalists have to maximize profit in a competitive market they must sacrifice the health and safety of others—workers, consumers, those affected by environmental danger. Tort law has come to reflect this compulsion in many ways: the choice</w:t>
      </w:r>
      <w:r w:rsidR="004007DF" w:rsidRPr="0021164D">
        <w:rPr>
          <w:rFonts w:ascii="Times New Roman" w:hAnsi="Times New Roman" w:cs="Times New Roman"/>
          <w:sz w:val="24"/>
          <w:szCs w:val="24"/>
        </w:rPr>
        <w:t xml:space="preserve"> of negligence over strict liability, the fellow-servant rule and assumption of risk, exculpatory clauses, and the lower standard of care for landowners and professionals. Capitalism fosters injury for another reason: it must constantly expand its markets and increase consumption; torts contribute to this end just like planned obsolesces and warfare. </w:t>
      </w:r>
    </w:p>
    <w:p w:rsidR="004007DF" w:rsidRPr="0021164D" w:rsidRDefault="004007DF" w:rsidP="003D4E00">
      <w:pPr>
        <w:pStyle w:val="ListParagraph"/>
        <w:numPr>
          <w:ilvl w:val="1"/>
          <w:numId w:val="23"/>
        </w:numPr>
        <w:rPr>
          <w:rFonts w:ascii="Times New Roman" w:hAnsi="Times New Roman" w:cs="Times New Roman"/>
          <w:sz w:val="24"/>
          <w:szCs w:val="24"/>
        </w:rPr>
      </w:pPr>
      <w:r w:rsidRPr="0021164D">
        <w:rPr>
          <w:rFonts w:ascii="Times New Roman" w:hAnsi="Times New Roman" w:cs="Times New Roman"/>
          <w:sz w:val="24"/>
          <w:szCs w:val="24"/>
        </w:rPr>
        <w:t xml:space="preserve">Hoovering as a Hobby and Other Stories: Gendered Assessments of Personal Injury Damages: when women are injured in an accident, assessment of their damages can be negatively affected by stereotypes and assumptions. This is done explicitly through such examples as female wage suppression and implicitly through use of stereotypes and gender assumptions about women’s lack of attachment to the paid labour market. </w:t>
      </w:r>
    </w:p>
    <w:p w:rsidR="00AB7220" w:rsidRDefault="00AB7220" w:rsidP="00AB7220">
      <w:pPr>
        <w:rPr>
          <w:rFonts w:ascii="Times New Roman" w:hAnsi="Times New Roman" w:cs="Times New Roman"/>
          <w:sz w:val="24"/>
          <w:szCs w:val="24"/>
          <w:u w:val="single"/>
        </w:rPr>
      </w:pPr>
      <w:r>
        <w:rPr>
          <w:rFonts w:ascii="Times New Roman" w:hAnsi="Times New Roman" w:cs="Times New Roman"/>
          <w:sz w:val="24"/>
          <w:szCs w:val="24"/>
          <w:u w:val="single"/>
        </w:rPr>
        <w:t xml:space="preserve">Chapter seven: </w:t>
      </w:r>
    </w:p>
    <w:p w:rsidR="00AB7220" w:rsidRDefault="00AB7220" w:rsidP="001537E7">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Fiduciary Relationships: </w:t>
      </w:r>
      <w:r w:rsidR="001537E7">
        <w:rPr>
          <w:rFonts w:ascii="Times New Roman" w:hAnsi="Times New Roman" w:cs="Times New Roman"/>
          <w:sz w:val="24"/>
          <w:szCs w:val="24"/>
        </w:rPr>
        <w:t>W</w:t>
      </w:r>
      <w:r w:rsidR="001537E7" w:rsidRPr="001537E7">
        <w:rPr>
          <w:rFonts w:ascii="Times New Roman" w:hAnsi="Times New Roman" w:cs="Times New Roman"/>
          <w:sz w:val="24"/>
          <w:szCs w:val="24"/>
        </w:rPr>
        <w:t xml:space="preserve">here one person places complete confidence in another in regard to a particular transaction or one's general affairs or business. The relationship is not necessarily formally or legally established as in a declaration of trust, but can be one </w:t>
      </w:r>
      <w:r w:rsidR="001537E7" w:rsidRPr="001537E7">
        <w:rPr>
          <w:rFonts w:ascii="Times New Roman" w:hAnsi="Times New Roman" w:cs="Times New Roman"/>
          <w:sz w:val="24"/>
          <w:szCs w:val="24"/>
        </w:rPr>
        <w:lastRenderedPageBreak/>
        <w:t>of moral or personal responsibility, due to the superior knowledge and training of the fiduciary as compared to the one whose affairs the fiduciary is handling</w:t>
      </w:r>
    </w:p>
    <w:p w:rsidR="00AB7220" w:rsidRDefault="00AB7220" w:rsidP="00705B93">
      <w:pPr>
        <w:pStyle w:val="ListParagraph"/>
        <w:numPr>
          <w:ilvl w:val="0"/>
          <w:numId w:val="29"/>
        </w:numPr>
        <w:rPr>
          <w:rFonts w:ascii="Times New Roman" w:hAnsi="Times New Roman" w:cs="Times New Roman"/>
          <w:sz w:val="24"/>
          <w:szCs w:val="24"/>
        </w:rPr>
      </w:pPr>
      <w:proofErr w:type="spellStart"/>
      <w:r>
        <w:rPr>
          <w:rFonts w:ascii="Times New Roman" w:hAnsi="Times New Roman" w:cs="Times New Roman"/>
          <w:sz w:val="24"/>
          <w:szCs w:val="24"/>
        </w:rPr>
        <w:t>Norberg</w:t>
      </w:r>
      <w:proofErr w:type="spellEnd"/>
      <w:r>
        <w:rPr>
          <w:rFonts w:ascii="Times New Roman" w:hAnsi="Times New Roman" w:cs="Times New Roman"/>
          <w:sz w:val="24"/>
          <w:szCs w:val="24"/>
        </w:rPr>
        <w:t xml:space="preserve"> v. </w:t>
      </w:r>
      <w:proofErr w:type="spellStart"/>
      <w:r>
        <w:rPr>
          <w:rFonts w:ascii="Times New Roman" w:hAnsi="Times New Roman" w:cs="Times New Roman"/>
          <w:sz w:val="24"/>
          <w:szCs w:val="24"/>
        </w:rPr>
        <w:t>Wynrib</w:t>
      </w:r>
      <w:proofErr w:type="spellEnd"/>
      <w:r>
        <w:rPr>
          <w:rFonts w:ascii="Times New Roman" w:hAnsi="Times New Roman" w:cs="Times New Roman"/>
          <w:sz w:val="24"/>
          <w:szCs w:val="24"/>
        </w:rPr>
        <w:t xml:space="preserve">: </w:t>
      </w:r>
      <w:r w:rsidR="00705B93" w:rsidRPr="00705B93">
        <w:rPr>
          <w:rFonts w:ascii="Times New Roman" w:hAnsi="Times New Roman" w:cs="Times New Roman"/>
          <w:sz w:val="24"/>
          <w:szCs w:val="24"/>
        </w:rPr>
        <w:t xml:space="preserve">is a leading Supreme Court of Canada decision on the fiduciary duty between doctors and patients, and on the limits of consent as a defense in sexual assault. Laura </w:t>
      </w:r>
      <w:proofErr w:type="spellStart"/>
      <w:r w:rsidR="00705B93" w:rsidRPr="00705B93">
        <w:rPr>
          <w:rFonts w:ascii="Times New Roman" w:hAnsi="Times New Roman" w:cs="Times New Roman"/>
          <w:sz w:val="24"/>
          <w:szCs w:val="24"/>
        </w:rPr>
        <w:t>Norberg</w:t>
      </w:r>
      <w:proofErr w:type="spellEnd"/>
      <w:r w:rsidR="00705B93" w:rsidRPr="00705B93">
        <w:rPr>
          <w:rFonts w:ascii="Times New Roman" w:hAnsi="Times New Roman" w:cs="Times New Roman"/>
          <w:sz w:val="24"/>
          <w:szCs w:val="24"/>
        </w:rPr>
        <w:t xml:space="preserve"> had severe pains in her jaw and frequent headaches in 1978. To remedy this problem, her sister offered her </w:t>
      </w:r>
      <w:proofErr w:type="spellStart"/>
      <w:r w:rsidR="00705B93" w:rsidRPr="00705B93">
        <w:rPr>
          <w:rFonts w:ascii="Times New Roman" w:hAnsi="Times New Roman" w:cs="Times New Roman"/>
          <w:sz w:val="24"/>
          <w:szCs w:val="24"/>
        </w:rPr>
        <w:t>Fiorinal</w:t>
      </w:r>
      <w:proofErr w:type="spellEnd"/>
      <w:r w:rsidR="00705B93" w:rsidRPr="00705B93">
        <w:rPr>
          <w:rFonts w:ascii="Times New Roman" w:hAnsi="Times New Roman" w:cs="Times New Roman"/>
          <w:sz w:val="24"/>
          <w:szCs w:val="24"/>
        </w:rPr>
        <w:t xml:space="preserve"> .After the source of her pain, an abscessed tooth, was found and treated, her addiction to painkillers remained. After breaking her ankle in 1981, she found a doctor who would prescribe </w:t>
      </w:r>
      <w:proofErr w:type="spellStart"/>
      <w:r w:rsidR="00705B93" w:rsidRPr="00705B93">
        <w:rPr>
          <w:rFonts w:ascii="Times New Roman" w:hAnsi="Times New Roman" w:cs="Times New Roman"/>
          <w:sz w:val="24"/>
          <w:szCs w:val="24"/>
        </w:rPr>
        <w:t>Fiorinal</w:t>
      </w:r>
      <w:proofErr w:type="spellEnd"/>
      <w:r w:rsidR="00705B93" w:rsidRPr="00705B93">
        <w:rPr>
          <w:rFonts w:ascii="Times New Roman" w:hAnsi="Times New Roman" w:cs="Times New Roman"/>
          <w:sz w:val="24"/>
          <w:szCs w:val="24"/>
        </w:rPr>
        <w:t xml:space="preserve">. After this doctor retired, she sought out another who would provide the drug. Starting in 1982, she began seeing Dr. </w:t>
      </w:r>
      <w:proofErr w:type="spellStart"/>
      <w:r w:rsidR="00705B93" w:rsidRPr="00705B93">
        <w:rPr>
          <w:rFonts w:ascii="Times New Roman" w:hAnsi="Times New Roman" w:cs="Times New Roman"/>
          <w:sz w:val="24"/>
          <w:szCs w:val="24"/>
        </w:rPr>
        <w:t>Wynrib</w:t>
      </w:r>
      <w:proofErr w:type="spellEnd"/>
      <w:r w:rsidR="00705B93" w:rsidRPr="00705B93">
        <w:rPr>
          <w:rFonts w:ascii="Times New Roman" w:hAnsi="Times New Roman" w:cs="Times New Roman"/>
          <w:sz w:val="24"/>
          <w:szCs w:val="24"/>
        </w:rPr>
        <w:t xml:space="preserve">, an elderly physician, and he began giving </w:t>
      </w:r>
      <w:proofErr w:type="spellStart"/>
      <w:r w:rsidR="00705B93" w:rsidRPr="00705B93">
        <w:rPr>
          <w:rFonts w:ascii="Times New Roman" w:hAnsi="Times New Roman" w:cs="Times New Roman"/>
          <w:sz w:val="24"/>
          <w:szCs w:val="24"/>
        </w:rPr>
        <w:t>Norberg</w:t>
      </w:r>
      <w:proofErr w:type="spellEnd"/>
      <w:r w:rsidR="00705B93" w:rsidRPr="00705B93">
        <w:rPr>
          <w:rFonts w:ascii="Times New Roman" w:hAnsi="Times New Roman" w:cs="Times New Roman"/>
          <w:sz w:val="24"/>
          <w:szCs w:val="24"/>
        </w:rPr>
        <w:t xml:space="preserve"> </w:t>
      </w:r>
      <w:proofErr w:type="spellStart"/>
      <w:r w:rsidR="00705B93" w:rsidRPr="00705B93">
        <w:rPr>
          <w:rFonts w:ascii="Times New Roman" w:hAnsi="Times New Roman" w:cs="Times New Roman"/>
          <w:sz w:val="24"/>
          <w:szCs w:val="24"/>
        </w:rPr>
        <w:t>Fiorinal</w:t>
      </w:r>
      <w:proofErr w:type="spellEnd"/>
      <w:r w:rsidR="00705B93" w:rsidRPr="00705B93">
        <w:rPr>
          <w:rFonts w:ascii="Times New Roman" w:hAnsi="Times New Roman" w:cs="Times New Roman"/>
          <w:sz w:val="24"/>
          <w:szCs w:val="24"/>
        </w:rPr>
        <w:t xml:space="preserve"> under the pretext of an ankle injury. In exchange, </w:t>
      </w:r>
      <w:proofErr w:type="spellStart"/>
      <w:r w:rsidR="00705B93" w:rsidRPr="00705B93">
        <w:rPr>
          <w:rFonts w:ascii="Times New Roman" w:hAnsi="Times New Roman" w:cs="Times New Roman"/>
          <w:sz w:val="24"/>
          <w:szCs w:val="24"/>
        </w:rPr>
        <w:t>Wynrib</w:t>
      </w:r>
      <w:proofErr w:type="spellEnd"/>
      <w:r w:rsidR="00705B93" w:rsidRPr="00705B93">
        <w:rPr>
          <w:rFonts w:ascii="Times New Roman" w:hAnsi="Times New Roman" w:cs="Times New Roman"/>
          <w:sz w:val="24"/>
          <w:szCs w:val="24"/>
        </w:rPr>
        <w:t xml:space="preserve"> demanded sexual favours. She eventually brought an action against him for sexual assault. There are two main issues in this case. First, the sexual assault falls under the tort of battery. Second, can the relationship between </w:t>
      </w:r>
      <w:proofErr w:type="spellStart"/>
      <w:r w:rsidR="00705B93" w:rsidRPr="00705B93">
        <w:rPr>
          <w:rFonts w:ascii="Times New Roman" w:hAnsi="Times New Roman" w:cs="Times New Roman"/>
          <w:sz w:val="24"/>
          <w:szCs w:val="24"/>
        </w:rPr>
        <w:t>Norberg</w:t>
      </w:r>
      <w:proofErr w:type="spellEnd"/>
      <w:r w:rsidR="00705B93" w:rsidRPr="00705B93">
        <w:rPr>
          <w:rFonts w:ascii="Times New Roman" w:hAnsi="Times New Roman" w:cs="Times New Roman"/>
          <w:sz w:val="24"/>
          <w:szCs w:val="24"/>
        </w:rPr>
        <w:t xml:space="preserve"> and </w:t>
      </w:r>
      <w:proofErr w:type="spellStart"/>
      <w:r w:rsidR="00705B93" w:rsidRPr="00705B93">
        <w:rPr>
          <w:rFonts w:ascii="Times New Roman" w:hAnsi="Times New Roman" w:cs="Times New Roman"/>
          <w:sz w:val="24"/>
          <w:szCs w:val="24"/>
        </w:rPr>
        <w:t>Wynrib</w:t>
      </w:r>
      <w:proofErr w:type="spellEnd"/>
      <w:r w:rsidR="00705B93" w:rsidRPr="00705B93">
        <w:rPr>
          <w:rFonts w:ascii="Times New Roman" w:hAnsi="Times New Roman" w:cs="Times New Roman"/>
          <w:sz w:val="24"/>
          <w:szCs w:val="24"/>
        </w:rPr>
        <w:t xml:space="preserve"> be characterized as fiduciary and therefore give rise to a fiduciary obligation? The British Columbia Court of Appeal dismissed the case on the basis that she consented. The case was given leave to the Supreme Court. The Supreme Court awarded punitive damages on behalf of </w:t>
      </w:r>
      <w:proofErr w:type="spellStart"/>
      <w:r w:rsidR="00705B93" w:rsidRPr="00705B93">
        <w:rPr>
          <w:rFonts w:ascii="Times New Roman" w:hAnsi="Times New Roman" w:cs="Times New Roman"/>
          <w:sz w:val="24"/>
          <w:szCs w:val="24"/>
        </w:rPr>
        <w:t>Norberg</w:t>
      </w:r>
      <w:proofErr w:type="spellEnd"/>
      <w:r w:rsidR="00705B93" w:rsidRPr="00705B93">
        <w:rPr>
          <w:rFonts w:ascii="Times New Roman" w:hAnsi="Times New Roman" w:cs="Times New Roman"/>
          <w:sz w:val="24"/>
          <w:szCs w:val="24"/>
        </w:rPr>
        <w:t>, but stops short of recognizing a fiduciary duty. The majority does not believe that sex is a power that can be transferred. Even though the majority discusses consent and its vitiation, they still treat the facts as an exchange between two parties.</w:t>
      </w:r>
    </w:p>
    <w:p w:rsidR="00AB7220" w:rsidRPr="00705B93" w:rsidRDefault="00AB7220" w:rsidP="00705B93">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Guerin v. Canada: </w:t>
      </w:r>
      <w:r w:rsidR="00705B93" w:rsidRPr="00705B93">
        <w:rPr>
          <w:rFonts w:ascii="Times New Roman" w:hAnsi="Times New Roman" w:cs="Times New Roman"/>
          <w:sz w:val="24"/>
          <w:szCs w:val="24"/>
        </w:rPr>
        <w:t>was a landmark Supreme Court of Canada decision on aboriginal rights where the Court first stated that the government has a fiduciary duty towards the First Nations of Canada and established aboriginal title</w:t>
      </w:r>
      <w:r w:rsidR="00705B93">
        <w:rPr>
          <w:rFonts w:ascii="Times New Roman" w:hAnsi="Times New Roman" w:cs="Times New Roman"/>
          <w:sz w:val="24"/>
          <w:szCs w:val="24"/>
        </w:rPr>
        <w:t xml:space="preserve">. </w:t>
      </w:r>
      <w:r w:rsidR="00705B93" w:rsidRPr="00705B93">
        <w:rPr>
          <w:rFonts w:ascii="Times New Roman" w:hAnsi="Times New Roman" w:cs="Times New Roman"/>
          <w:sz w:val="24"/>
          <w:szCs w:val="24"/>
        </w:rPr>
        <w:t xml:space="preserve">R. v. Guerin acknowledged that Canada (the federal government) has a trust-like relationship, or “fiduciary duty” towards First Nations, specifically in regards to reserve lands. In other words, the federal government has the obligation to act in their best interest. In 1956, Musqueam held just over 400 acres of reserve land overlooking the Fraser River in Vancouver’s prestigious Southlands neighbourhood.  At that time, the Shaughnessy Golf and Country Club was looking for land for its golf course. The Club approached the Department of Indian Affairs (DIA) in the hopes of leasing 162 prime acres of the Musqueam reserve. The DIA obtained Musqueam consent by assuring them that the band would receive revenue from the lease. According to Musqueam, the band was denied legal representation. They consented to the deal regardless. After the DIA obtained their consent, DIA representatives re-negotiated the deal with the Club and leased the land on substantially different terms than what Musqueam had agreed to. Musqueam had been told that they would profit off of the 75-year lease, with rents being adjusted to fair market rates every decade. Unbeknownst to the band, however, the deal was re-negotiated to allow the Club to only pay what amounted to 10% of the fair market rent for the land. Chief Justices Wilson and Dickson interpreted this fiduciary duty as stemming from an Aboriginal interest and title to the land, and the Crown’s relationship to Aboriginal peoples. Wilson </w:t>
      </w:r>
      <w:r w:rsidR="00705B93" w:rsidRPr="00705B93">
        <w:rPr>
          <w:rFonts w:ascii="Times New Roman" w:hAnsi="Times New Roman" w:cs="Times New Roman"/>
          <w:sz w:val="24"/>
          <w:szCs w:val="24"/>
        </w:rPr>
        <w:lastRenderedPageBreak/>
        <w:t>understood this relationship to be characterized by Section 18 of the Indian Act, which specifies that reserves are held by the Crown “for the use and benefit of the respective bands for which they are set apart,” and that “the Governor in Council may determine whether any purpose for which lands in a reserve are used or are to be used is for the use and benefit of the band"4 (emphasis added). Thus the government demonstrated it did not act in Musqueam best interest by not consulting them about the revised terms of the lease. The concept of “fiduciary duty” has gone on to inform other Aboriginal rights cases as well as the protection of Aboriginal rights under Section 35 of the Canadian Constitution</w:t>
      </w:r>
    </w:p>
    <w:p w:rsidR="00AB7220" w:rsidRPr="00705B93" w:rsidRDefault="00AB7220" w:rsidP="00705B93">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Frame v. Smith: </w:t>
      </w:r>
      <w:r w:rsidR="00F6748C">
        <w:rPr>
          <w:rFonts w:ascii="Times New Roman" w:hAnsi="Times New Roman" w:cs="Times New Roman"/>
          <w:sz w:val="24"/>
          <w:szCs w:val="24"/>
        </w:rPr>
        <w:t>Central issue in this case is whether the courts should recognize a common law parental right of acce</w:t>
      </w:r>
      <w:r w:rsidR="003946FD">
        <w:rPr>
          <w:rFonts w:ascii="Times New Roman" w:hAnsi="Times New Roman" w:cs="Times New Roman"/>
          <w:sz w:val="24"/>
          <w:szCs w:val="24"/>
        </w:rPr>
        <w:t xml:space="preserve">ss to children or alternatively, a right to recover damages for interference with an order for access made by the court pursuant to statutory authority. The issue arises in the context of an application to strike out the plaintiff’s state if claim as disclosing no reasonable cause of action. </w:t>
      </w:r>
      <w:r w:rsidR="003946FD" w:rsidRPr="003946FD">
        <w:rPr>
          <w:rFonts w:ascii="Times New Roman" w:hAnsi="Times New Roman" w:cs="Times New Roman"/>
          <w:sz w:val="24"/>
          <w:szCs w:val="24"/>
        </w:rPr>
        <w:t>Richard Frame and Eleanor Smith had three children during their marriage.</w:t>
      </w:r>
      <w:r w:rsid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After their separation, the wife was granted custody, with generous visiting privileges</w:t>
      </w:r>
      <w:r w:rsidR="00705B93" w:rsidRP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to the husband, and more specific orders of access were later issued. The husband</w:t>
      </w:r>
      <w:r w:rsidR="00705B93" w:rsidRP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maintains that his former wife did everything in her power to frustrate his access to the</w:t>
      </w:r>
      <w:r w:rsidR="00705B93" w:rsidRP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children: she moved to distant cities without notification, changed the children's</w:t>
      </w:r>
      <w:r w:rsidR="00705B93" w:rsidRP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surname and religion, told them that the appellant was not their father, forbade</w:t>
      </w:r>
      <w:r w:rsidR="00705B93" w:rsidRPr="00705B93">
        <w:rPr>
          <w:rFonts w:ascii="Times New Roman" w:hAnsi="Times New Roman" w:cs="Times New Roman"/>
          <w:sz w:val="24"/>
          <w:szCs w:val="24"/>
        </w:rPr>
        <w:t xml:space="preserve"> </w:t>
      </w:r>
      <w:r w:rsidR="003946FD" w:rsidRPr="00705B93">
        <w:rPr>
          <w:rFonts w:ascii="Times New Roman" w:hAnsi="Times New Roman" w:cs="Times New Roman"/>
          <w:sz w:val="24"/>
          <w:szCs w:val="24"/>
        </w:rPr>
        <w:t>telephone conversation with him, and intercepted his letters to them. The husband</w:t>
      </w:r>
      <w:r w:rsidR="00705B93" w:rsidRPr="00705B93">
        <w:rPr>
          <w:rFonts w:ascii="Times New Roman" w:hAnsi="Times New Roman" w:cs="Times New Roman"/>
          <w:sz w:val="24"/>
          <w:szCs w:val="24"/>
        </w:rPr>
        <w:t xml:space="preserve"> alleges</w:t>
      </w:r>
      <w:r w:rsidR="003946FD" w:rsidRPr="00705B93">
        <w:rPr>
          <w:rFonts w:ascii="Times New Roman" w:hAnsi="Times New Roman" w:cs="Times New Roman"/>
          <w:sz w:val="24"/>
          <w:szCs w:val="24"/>
        </w:rPr>
        <w:t xml:space="preserve"> he has undergone considerable expense and has suffered severe emotional and Psychic distress because of this conduct and claims damages from respondents flowing. From their wrongful interference with the legal relationship he had with his children.</w:t>
      </w:r>
    </w:p>
    <w:p w:rsidR="00AB7220" w:rsidRDefault="00AB7220" w:rsidP="00705B93">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M.(k.) v. M.(h.): </w:t>
      </w:r>
      <w:r w:rsidR="00705B93" w:rsidRPr="00705B93">
        <w:rPr>
          <w:rFonts w:ascii="Times New Roman" w:hAnsi="Times New Roman" w:cs="Times New Roman"/>
          <w:sz w:val="24"/>
          <w:szCs w:val="24"/>
        </w:rPr>
        <w:t xml:space="preserve">Appellant was the victim of incest. It began with fondling by her father and, after the age of ten or eleven, involved regular sexual intercourse with him. Her cooperation and silence were elicited by various threats which appellant had good reason to take seriously. She was also rewarded with pop, potato chips and money. In time, respondent gave her the responsibility for 1992 </w:t>
      </w:r>
      <w:proofErr w:type="spellStart"/>
      <w:r w:rsidR="00705B93" w:rsidRPr="00705B93">
        <w:rPr>
          <w:rFonts w:ascii="Times New Roman" w:hAnsi="Times New Roman" w:cs="Times New Roman"/>
          <w:sz w:val="24"/>
          <w:szCs w:val="24"/>
        </w:rPr>
        <w:t>CanLII</w:t>
      </w:r>
      <w:proofErr w:type="spellEnd"/>
      <w:r w:rsidR="00705B93" w:rsidRPr="00705B93">
        <w:rPr>
          <w:rFonts w:ascii="Times New Roman" w:hAnsi="Times New Roman" w:cs="Times New Roman"/>
          <w:sz w:val="24"/>
          <w:szCs w:val="24"/>
        </w:rPr>
        <w:t xml:space="preserve"> 31 (SCC) initiating sexual contact. Appellant tried several times to disclose this abuse to no avail. At the age of ten or eleven appellant tried to tell her mother and at age sixteen she told a high school guidance counsellor, who referred her to a school psychologist. Her father had her recant both to the psychologist and to a lawyer for the local school board. Other disclosures made after leaving home came to nothing until she finally attended meetings of a self-help group for incest victims and realized that her psychological problems as an adult were caused by the incest. With therapy appellant also came to realize that it was her father rather than herself who was at fault. Professional opinion was that appellant was unable to assess her situation rationally until she entered this therapy.  In 1985, at the age of 28, appellant sued her father for damages arising from the incest and for breach of a parent's fiduciary duty. At issue here are: (1) whether incest is a separate and distinct tort not subject to any limitation period; (2) whether incest constitutes a breach of fiduciary </w:t>
      </w:r>
      <w:r w:rsidR="00705B93" w:rsidRPr="00705B93">
        <w:rPr>
          <w:rFonts w:ascii="Times New Roman" w:hAnsi="Times New Roman" w:cs="Times New Roman"/>
          <w:sz w:val="24"/>
          <w:szCs w:val="24"/>
        </w:rPr>
        <w:lastRenderedPageBreak/>
        <w:t>duty by a parent not subject to any limitation period; and (3) if a limitation period applies, whether it is postponed by the reasonable discoverability principle. At the end the decision was held in favour of the appellant.</w:t>
      </w:r>
    </w:p>
    <w:p w:rsidR="00AB7220" w:rsidRDefault="00AB7220" w:rsidP="00705B93">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 xml:space="preserve">Canada Aero Service Ltd. v. O’Malley: </w:t>
      </w:r>
      <w:r w:rsidR="00705B93" w:rsidRPr="00705B93">
        <w:rPr>
          <w:rFonts w:ascii="Times New Roman" w:hAnsi="Times New Roman" w:cs="Times New Roman"/>
          <w:sz w:val="24"/>
          <w:szCs w:val="24"/>
        </w:rPr>
        <w:t xml:space="preserve">is a leading civil case decided by the Supreme Court of Canada on corporate director and officer liability. Canadian Aero Service Limited ("Canaero") was a company whose main business was topographical mapping and geophysical exploration. O'Malley and </w:t>
      </w:r>
      <w:proofErr w:type="spellStart"/>
      <w:r w:rsidR="00705B93" w:rsidRPr="00705B93">
        <w:rPr>
          <w:rFonts w:ascii="Times New Roman" w:hAnsi="Times New Roman" w:cs="Times New Roman"/>
          <w:sz w:val="24"/>
          <w:szCs w:val="24"/>
        </w:rPr>
        <w:t>Zarzycki</w:t>
      </w:r>
      <w:proofErr w:type="spellEnd"/>
      <w:r w:rsidR="00705B93" w:rsidRPr="00705B93">
        <w:rPr>
          <w:rFonts w:ascii="Times New Roman" w:hAnsi="Times New Roman" w:cs="Times New Roman"/>
          <w:sz w:val="24"/>
          <w:szCs w:val="24"/>
        </w:rPr>
        <w:t xml:space="preserve"> were senior officers of Canaero, and, together with Wells, were directors of the company. After the acquisition of </w:t>
      </w:r>
      <w:proofErr w:type="spellStart"/>
      <w:r w:rsidR="00705B93" w:rsidRPr="00705B93">
        <w:rPr>
          <w:rFonts w:ascii="Times New Roman" w:hAnsi="Times New Roman" w:cs="Times New Roman"/>
          <w:sz w:val="24"/>
          <w:szCs w:val="24"/>
        </w:rPr>
        <w:t>Canaero's</w:t>
      </w:r>
      <w:proofErr w:type="spellEnd"/>
      <w:r w:rsidR="00705B93" w:rsidRPr="00705B93">
        <w:rPr>
          <w:rFonts w:ascii="Times New Roman" w:hAnsi="Times New Roman" w:cs="Times New Roman"/>
          <w:sz w:val="24"/>
          <w:szCs w:val="24"/>
        </w:rPr>
        <w:t xml:space="preserve"> parent by Litton Industries in 1961, Wells resigned as director in February 1965. O'Malley and </w:t>
      </w:r>
      <w:proofErr w:type="spellStart"/>
      <w:r w:rsidR="00705B93" w:rsidRPr="00705B93">
        <w:rPr>
          <w:rFonts w:ascii="Times New Roman" w:hAnsi="Times New Roman" w:cs="Times New Roman"/>
          <w:sz w:val="24"/>
          <w:szCs w:val="24"/>
        </w:rPr>
        <w:t>Zarzycki</w:t>
      </w:r>
      <w:proofErr w:type="spellEnd"/>
      <w:r w:rsidR="00705B93" w:rsidRPr="00705B93">
        <w:rPr>
          <w:rFonts w:ascii="Times New Roman" w:hAnsi="Times New Roman" w:cs="Times New Roman"/>
          <w:sz w:val="24"/>
          <w:szCs w:val="24"/>
        </w:rPr>
        <w:t xml:space="preserve"> resigned from their positions in August 1966. Wells was aware the latter were discontented at Canaero by reason of the limitations upon their authority and the scope of independent action imposed by the Litton Company, and they also feared loss of position if Canaero should fail to get contracts. Prior to their resignation, at the suggestion of Wells, the three decided to form a business venture in the same fields as Canaero. Canaero filed a claim against the three on the basis that the defendants had improperly taken the fruits of a corporate opportunity in which Canaero had a prior and continuing interest. In the Supreme Court of Ontario, it was held that, while O'Malley and </w:t>
      </w:r>
      <w:proofErr w:type="spellStart"/>
      <w:r w:rsidR="00705B93" w:rsidRPr="00705B93">
        <w:rPr>
          <w:rFonts w:ascii="Times New Roman" w:hAnsi="Times New Roman" w:cs="Times New Roman"/>
          <w:sz w:val="24"/>
          <w:szCs w:val="24"/>
        </w:rPr>
        <w:t>Zarzycki</w:t>
      </w:r>
      <w:proofErr w:type="spellEnd"/>
      <w:r w:rsidR="00705B93" w:rsidRPr="00705B93">
        <w:rPr>
          <w:rFonts w:ascii="Times New Roman" w:hAnsi="Times New Roman" w:cs="Times New Roman"/>
          <w:sz w:val="24"/>
          <w:szCs w:val="24"/>
        </w:rPr>
        <w:t>, as corporate officers, had fiduciary obligations to Canaero, such obligations did not apply in this case.</w:t>
      </w:r>
    </w:p>
    <w:p w:rsidR="00AB7220" w:rsidRDefault="00AB7220" w:rsidP="00AB7220">
      <w:pPr>
        <w:rPr>
          <w:rFonts w:ascii="Times New Roman" w:hAnsi="Times New Roman" w:cs="Times New Roman"/>
          <w:sz w:val="24"/>
          <w:szCs w:val="24"/>
          <w:u w:val="single"/>
        </w:rPr>
      </w:pPr>
      <w:r>
        <w:rPr>
          <w:rFonts w:ascii="Times New Roman" w:hAnsi="Times New Roman" w:cs="Times New Roman"/>
          <w:sz w:val="24"/>
          <w:szCs w:val="24"/>
          <w:u w:val="single"/>
        </w:rPr>
        <w:t xml:space="preserve">Chapter eight: </w:t>
      </w:r>
    </w:p>
    <w:p w:rsidR="00AB7220" w:rsidRDefault="00AB7220" w:rsidP="00705B9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Kamloops v. Nielsen: </w:t>
      </w:r>
      <w:r w:rsidR="00705B93" w:rsidRPr="00705B93">
        <w:rPr>
          <w:rFonts w:ascii="Times New Roman" w:hAnsi="Times New Roman" w:cs="Times New Roman"/>
          <w:sz w:val="24"/>
          <w:szCs w:val="24"/>
        </w:rPr>
        <w:t xml:space="preserve">is a leading Supreme Court of Canada (SCC) decision setting forth the criteria which must be met in order for a plaintiff to make a claim in tort for pure economic loss. A house in Kamloops, British Columbia had insufficient foundations which were discovered upon inspection by the city. Stop work orders were issued but not enforced. The house was sold to the </w:t>
      </w:r>
      <w:proofErr w:type="spellStart"/>
      <w:r w:rsidR="00705B93" w:rsidRPr="00705B93">
        <w:rPr>
          <w:rFonts w:ascii="Times New Roman" w:hAnsi="Times New Roman" w:cs="Times New Roman"/>
          <w:sz w:val="24"/>
          <w:szCs w:val="24"/>
        </w:rPr>
        <w:t>Neilsens</w:t>
      </w:r>
      <w:proofErr w:type="spellEnd"/>
      <w:r w:rsidR="00705B93" w:rsidRPr="00705B93">
        <w:rPr>
          <w:rFonts w:ascii="Times New Roman" w:hAnsi="Times New Roman" w:cs="Times New Roman"/>
          <w:sz w:val="24"/>
          <w:szCs w:val="24"/>
        </w:rPr>
        <w:t xml:space="preserve">. On discovering the construction deficiencies, the </w:t>
      </w:r>
      <w:proofErr w:type="spellStart"/>
      <w:r w:rsidR="00705B93" w:rsidRPr="00705B93">
        <w:rPr>
          <w:rFonts w:ascii="Times New Roman" w:hAnsi="Times New Roman" w:cs="Times New Roman"/>
          <w:sz w:val="24"/>
          <w:szCs w:val="24"/>
        </w:rPr>
        <w:t>Neilsens</w:t>
      </w:r>
      <w:proofErr w:type="spellEnd"/>
      <w:r w:rsidR="00705B93" w:rsidRPr="00705B93">
        <w:rPr>
          <w:rFonts w:ascii="Times New Roman" w:hAnsi="Times New Roman" w:cs="Times New Roman"/>
          <w:sz w:val="24"/>
          <w:szCs w:val="24"/>
        </w:rPr>
        <w:t xml:space="preserve"> sued the city for negligent performance of inspection. The vendor of the house, Hughes, assumed liability as well. 75% of the liability was delegated to Hughes and 25% was given to the city. Under statute, the city had discretion whether to inspect construction. The city argued that it could not be liable for exercising that discretion. The exercise of the statutory discretion granted to the city to inspect was a policy decision. A plaintiff cannot sue government for a policy decision; however, once the city elected to inspect, the enforcement of that inspection was an operational decision which could give rise to a duty of care. On a breach of that duty of care, a plaintiff could sue. The court concluded that the city breached its duty of care by negligently enforcing inspection.</w:t>
      </w:r>
    </w:p>
    <w:p w:rsidR="00AB7220" w:rsidRDefault="00AB7220" w:rsidP="00705B93">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Jane Doe v. Metropolitan Toronto (Municipality) Commissioners of Police:</w:t>
      </w:r>
      <w:r w:rsidR="00705B93">
        <w:rPr>
          <w:rFonts w:ascii="Times New Roman" w:hAnsi="Times New Roman" w:cs="Times New Roman"/>
          <w:sz w:val="24"/>
          <w:szCs w:val="24"/>
        </w:rPr>
        <w:t xml:space="preserve"> </w:t>
      </w:r>
      <w:r w:rsidR="00705B93" w:rsidRPr="00705B93">
        <w:rPr>
          <w:rFonts w:ascii="Times New Roman" w:hAnsi="Times New Roman" w:cs="Times New Roman"/>
          <w:sz w:val="24"/>
          <w:szCs w:val="24"/>
        </w:rPr>
        <w:t xml:space="preserve">In 1986, Jane Doe was raped at knife-point by a stranger who broke into her apartment, from her balcony, while she was sleeping. In the seven months prior to the attack, four other women in her neighbourhood had reported to the police that they had been raped by a </w:t>
      </w:r>
      <w:r w:rsidR="00705B93" w:rsidRPr="00705B93">
        <w:rPr>
          <w:rFonts w:ascii="Times New Roman" w:hAnsi="Times New Roman" w:cs="Times New Roman"/>
          <w:sz w:val="24"/>
          <w:szCs w:val="24"/>
        </w:rPr>
        <w:lastRenderedPageBreak/>
        <w:t xml:space="preserve">stranger in similar circumstances. The police were slow to link the assaults and did not devoted adequate resources to the investigation. Once they determined that a serial rapist was at large, they did not warn the women at risk. Jane Doe sued the Board of Commissioners for the Metro Toronto Police on three separate grounds: negligence, a violation of her Charter equality rights, and an infringement of her Charter right to security of the person. On July 3, 1998, Madam Justice </w:t>
      </w:r>
      <w:proofErr w:type="spellStart"/>
      <w:r w:rsidR="00705B93" w:rsidRPr="00705B93">
        <w:rPr>
          <w:rFonts w:ascii="Times New Roman" w:hAnsi="Times New Roman" w:cs="Times New Roman"/>
          <w:sz w:val="24"/>
          <w:szCs w:val="24"/>
        </w:rPr>
        <w:t>MacFarland</w:t>
      </w:r>
      <w:proofErr w:type="spellEnd"/>
      <w:r w:rsidR="00705B93" w:rsidRPr="00705B93">
        <w:rPr>
          <w:rFonts w:ascii="Times New Roman" w:hAnsi="Times New Roman" w:cs="Times New Roman"/>
          <w:sz w:val="24"/>
          <w:szCs w:val="24"/>
        </w:rPr>
        <w:t xml:space="preserve"> ruled in her favour on all three counts. The Judge held that the police owed a duty of care to the women in Jane Doe's neighbourhood and that they "utterly" failed in their duty to protect these women. She concluded that the police investigation of the so-called "balcony rapist" was "irresponsible and grossly negligent".</w:t>
      </w:r>
    </w:p>
    <w:p w:rsidR="00F6748C" w:rsidRPr="00AB7220" w:rsidRDefault="00F6748C" w:rsidP="00AB7220">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 xml:space="preserve">B.(W.R.) v. </w:t>
      </w:r>
      <w:proofErr w:type="spellStart"/>
      <w:r>
        <w:rPr>
          <w:rFonts w:ascii="Times New Roman" w:hAnsi="Times New Roman" w:cs="Times New Roman"/>
          <w:sz w:val="24"/>
          <w:szCs w:val="24"/>
        </w:rPr>
        <w:t>Plint</w:t>
      </w:r>
      <w:proofErr w:type="spellEnd"/>
      <w:r>
        <w:rPr>
          <w:rFonts w:ascii="Times New Roman" w:hAnsi="Times New Roman" w:cs="Times New Roman"/>
          <w:sz w:val="24"/>
          <w:szCs w:val="24"/>
        </w:rPr>
        <w:t xml:space="preserve">: </w:t>
      </w:r>
      <w:r w:rsidR="00A44420">
        <w:rPr>
          <w:rFonts w:ascii="Times New Roman" w:hAnsi="Times New Roman" w:cs="Times New Roman"/>
          <w:sz w:val="24"/>
          <w:szCs w:val="24"/>
        </w:rPr>
        <w:t xml:space="preserve">In this case, the plaintiffs seek damages for the sexual assaults committed to them from the defendant, Arthur Henry </w:t>
      </w:r>
      <w:proofErr w:type="spellStart"/>
      <w:r w:rsidR="00A44420">
        <w:rPr>
          <w:rFonts w:ascii="Times New Roman" w:hAnsi="Times New Roman" w:cs="Times New Roman"/>
          <w:sz w:val="24"/>
          <w:szCs w:val="24"/>
        </w:rPr>
        <w:t>Plint</w:t>
      </w:r>
      <w:proofErr w:type="spellEnd"/>
      <w:r w:rsidR="00A44420">
        <w:rPr>
          <w:rFonts w:ascii="Times New Roman" w:hAnsi="Times New Roman" w:cs="Times New Roman"/>
          <w:sz w:val="24"/>
          <w:szCs w:val="24"/>
        </w:rPr>
        <w:t xml:space="preserve">. The plaintiffs, all of whom are status Indians under the Indian Act were students at a local residential school in which these assaults took place. These occurrences had happened from the years 1940 and continued on to about the early 1970s. The plaintiffs sued both the perpetrator of these assaults and the Presbyterian church which ran the residential school in which these assaults took place under the fact that they were vicariously liable for the wellbeing of the students who had attended this school. The court ruled that both the church and the province within Canada (B.C) were vicariously liable for the wellbeing of the aboriginals who had been effected by the aforementioned acts of sexual assault. </w:t>
      </w:r>
    </w:p>
    <w:p w:rsidR="00D6363C" w:rsidRPr="0021164D" w:rsidRDefault="00D6363C" w:rsidP="00D6363C">
      <w:pPr>
        <w:jc w:val="center"/>
        <w:rPr>
          <w:rFonts w:ascii="Times New Roman" w:hAnsi="Times New Roman" w:cs="Times New Roman"/>
          <w:sz w:val="24"/>
          <w:szCs w:val="24"/>
        </w:rPr>
      </w:pPr>
    </w:p>
    <w:sectPr w:rsidR="00D6363C" w:rsidRPr="0021164D" w:rsidSect="00117F4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560FE"/>
    <w:multiLevelType w:val="multilevel"/>
    <w:tmpl w:val="90F0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B0500"/>
    <w:multiLevelType w:val="hybridMultilevel"/>
    <w:tmpl w:val="35D22E14"/>
    <w:lvl w:ilvl="0" w:tplc="00BA6212">
      <w:start w:val="1"/>
      <w:numFmt w:val="lowerLetter"/>
      <w:lvlText w:val="%1)"/>
      <w:lvlJc w:val="left"/>
      <w:pPr>
        <w:ind w:left="720" w:hanging="360"/>
      </w:pPr>
      <w:rPr>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E643DA5"/>
    <w:multiLevelType w:val="hybridMultilevel"/>
    <w:tmpl w:val="523C1A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8F6464"/>
    <w:multiLevelType w:val="hybridMultilevel"/>
    <w:tmpl w:val="41024920"/>
    <w:lvl w:ilvl="0" w:tplc="A658FA48">
      <w:start w:val="1"/>
      <w:numFmt w:val="lowerLetter"/>
      <w:lvlText w:val="%1)"/>
      <w:lvlJc w:val="left"/>
      <w:pPr>
        <w:ind w:left="720" w:hanging="360"/>
      </w:pPr>
      <w:rPr>
        <w:rFonts w:asciiTheme="minorHAnsi" w:eastAsiaTheme="minorHAnsi" w:hAnsiTheme="minorHAnsi" w:cstheme="minorBidi"/>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2439BB"/>
    <w:multiLevelType w:val="multilevel"/>
    <w:tmpl w:val="E5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207CF"/>
    <w:multiLevelType w:val="hybridMultilevel"/>
    <w:tmpl w:val="3482D8E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58E7956"/>
    <w:multiLevelType w:val="multilevel"/>
    <w:tmpl w:val="666CA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B6594D"/>
    <w:multiLevelType w:val="multilevel"/>
    <w:tmpl w:val="6FA0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454BA1"/>
    <w:multiLevelType w:val="hybridMultilevel"/>
    <w:tmpl w:val="16B4438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CDE7F57"/>
    <w:multiLevelType w:val="hybridMultilevel"/>
    <w:tmpl w:val="243ED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DCD502A"/>
    <w:multiLevelType w:val="multilevel"/>
    <w:tmpl w:val="2892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4D76E7"/>
    <w:multiLevelType w:val="hybridMultilevel"/>
    <w:tmpl w:val="BB4013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6DD690F"/>
    <w:multiLevelType w:val="hybridMultilevel"/>
    <w:tmpl w:val="567084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78473C0"/>
    <w:multiLevelType w:val="multilevel"/>
    <w:tmpl w:val="CAA6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9D4F21"/>
    <w:multiLevelType w:val="hybridMultilevel"/>
    <w:tmpl w:val="6956997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3A324C17"/>
    <w:multiLevelType w:val="multilevel"/>
    <w:tmpl w:val="C2E42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6F3A36"/>
    <w:multiLevelType w:val="hybridMultilevel"/>
    <w:tmpl w:val="EA4AC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F597DFC"/>
    <w:multiLevelType w:val="multilevel"/>
    <w:tmpl w:val="20B06ECA"/>
    <w:lvl w:ilvl="0">
      <w:start w:val="1"/>
      <w:numFmt w:val="bullet"/>
      <w:lvlText w:val="●"/>
      <w:lvlJc w:val="left"/>
      <w:pPr>
        <w:ind w:left="720" w:firstLine="360"/>
      </w:pPr>
      <w:rPr>
        <w:rFonts w:ascii="Arial" w:eastAsia="Arial" w:hAnsi="Arial" w:cs="Arial"/>
        <w:b w:val="0"/>
        <w:i w:val="0"/>
        <w:smallCaps w:val="0"/>
        <w:strike w:val="0"/>
        <w:color w:val="000000"/>
        <w:sz w:val="22"/>
        <w:highlight w:val="none"/>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highlight w:val="none"/>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highlight w:val="none"/>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highlight w:val="none"/>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highlight w:val="none"/>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highlight w:val="none"/>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highlight w:val="none"/>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highlight w:val="none"/>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highlight w:val="none"/>
        <w:u w:val="none"/>
        <w:vertAlign w:val="baseline"/>
      </w:rPr>
    </w:lvl>
  </w:abstractNum>
  <w:abstractNum w:abstractNumId="18">
    <w:nsid w:val="42481936"/>
    <w:multiLevelType w:val="hybridMultilevel"/>
    <w:tmpl w:val="A5065F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58D7E32"/>
    <w:multiLevelType w:val="hybridMultilevel"/>
    <w:tmpl w:val="35CE81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630596A"/>
    <w:multiLevelType w:val="multilevel"/>
    <w:tmpl w:val="F1144E8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FD033A"/>
    <w:multiLevelType w:val="multilevel"/>
    <w:tmpl w:val="CCF6A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FD2036F"/>
    <w:multiLevelType w:val="multilevel"/>
    <w:tmpl w:val="82824194"/>
    <w:lvl w:ilvl="0">
      <w:start w:val="2"/>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E77FED"/>
    <w:multiLevelType w:val="hybridMultilevel"/>
    <w:tmpl w:val="DE4001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AAF38B2"/>
    <w:multiLevelType w:val="hybridMultilevel"/>
    <w:tmpl w:val="09D0C5DC"/>
    <w:lvl w:ilvl="0" w:tplc="3C7E05E2">
      <w:start w:val="5"/>
      <w:numFmt w:val="lowerLetter"/>
      <w:lvlText w:val="%1)"/>
      <w:lvlJc w:val="left"/>
      <w:pPr>
        <w:ind w:left="1080" w:hanging="360"/>
      </w:pPr>
      <w:rPr>
        <w:rFonts w:hint="default"/>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5FDB299A"/>
    <w:multiLevelType w:val="hybridMultilevel"/>
    <w:tmpl w:val="88B4F27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6">
    <w:nsid w:val="61BE0B4C"/>
    <w:multiLevelType w:val="multilevel"/>
    <w:tmpl w:val="1D48B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490060"/>
    <w:multiLevelType w:val="hybridMultilevel"/>
    <w:tmpl w:val="4036E60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70733BF9"/>
    <w:multiLevelType w:val="hybridMultilevel"/>
    <w:tmpl w:val="DD9C25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70F53A0"/>
    <w:multiLevelType w:val="hybridMultilevel"/>
    <w:tmpl w:val="F230B2C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27"/>
  </w:num>
  <w:num w:numId="3">
    <w:abstractNumId w:val="16"/>
  </w:num>
  <w:num w:numId="4">
    <w:abstractNumId w:val="18"/>
  </w:num>
  <w:num w:numId="5">
    <w:abstractNumId w:val="2"/>
  </w:num>
  <w:num w:numId="6">
    <w:abstractNumId w:val="28"/>
  </w:num>
  <w:num w:numId="7">
    <w:abstractNumId w:val="1"/>
  </w:num>
  <w:num w:numId="8">
    <w:abstractNumId w:val="5"/>
  </w:num>
  <w:num w:numId="9">
    <w:abstractNumId w:val="3"/>
  </w:num>
  <w:num w:numId="10">
    <w:abstractNumId w:val="24"/>
  </w:num>
  <w:num w:numId="11">
    <w:abstractNumId w:val="11"/>
  </w:num>
  <w:num w:numId="12">
    <w:abstractNumId w:val="9"/>
  </w:num>
  <w:num w:numId="13">
    <w:abstractNumId w:val="12"/>
  </w:num>
  <w:num w:numId="14">
    <w:abstractNumId w:val="23"/>
  </w:num>
  <w:num w:numId="15">
    <w:abstractNumId w:val="26"/>
  </w:num>
  <w:num w:numId="16">
    <w:abstractNumId w:val="7"/>
  </w:num>
  <w:num w:numId="17">
    <w:abstractNumId w:val="10"/>
  </w:num>
  <w:num w:numId="18">
    <w:abstractNumId w:val="4"/>
  </w:num>
  <w:num w:numId="19">
    <w:abstractNumId w:val="6"/>
  </w:num>
  <w:num w:numId="20">
    <w:abstractNumId w:val="0"/>
  </w:num>
  <w:num w:numId="21">
    <w:abstractNumId w:val="21"/>
  </w:num>
  <w:num w:numId="22">
    <w:abstractNumId w:val="13"/>
  </w:num>
  <w:num w:numId="23">
    <w:abstractNumId w:val="22"/>
    <w:lvlOverride w:ilvl="0">
      <w:lvl w:ilvl="0">
        <w:numFmt w:val="decimal"/>
        <w:lvlText w:val="%1."/>
        <w:lvlJc w:val="left"/>
      </w:lvl>
    </w:lvlOverride>
  </w:num>
  <w:num w:numId="24">
    <w:abstractNumId w:val="15"/>
  </w:num>
  <w:num w:numId="25">
    <w:abstractNumId w:val="20"/>
  </w:num>
  <w:num w:numId="26">
    <w:abstractNumId w:val="17"/>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8"/>
  </w:num>
  <w:num w:numId="3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41F34"/>
    <w:rsid w:val="000029D9"/>
    <w:rsid w:val="00021691"/>
    <w:rsid w:val="000516F7"/>
    <w:rsid w:val="00075A58"/>
    <w:rsid w:val="000B53CB"/>
    <w:rsid w:val="000C4349"/>
    <w:rsid w:val="000C684A"/>
    <w:rsid w:val="000D2617"/>
    <w:rsid w:val="000F56ED"/>
    <w:rsid w:val="00113DC4"/>
    <w:rsid w:val="00117F4D"/>
    <w:rsid w:val="001537E7"/>
    <w:rsid w:val="00172656"/>
    <w:rsid w:val="0018693F"/>
    <w:rsid w:val="00195E82"/>
    <w:rsid w:val="001A28F2"/>
    <w:rsid w:val="0021164D"/>
    <w:rsid w:val="00223419"/>
    <w:rsid w:val="002438DE"/>
    <w:rsid w:val="002703D4"/>
    <w:rsid w:val="00274BF9"/>
    <w:rsid w:val="002B6AFF"/>
    <w:rsid w:val="003331F5"/>
    <w:rsid w:val="0038095C"/>
    <w:rsid w:val="003946FD"/>
    <w:rsid w:val="00395824"/>
    <w:rsid w:val="003D4E00"/>
    <w:rsid w:val="003E11B4"/>
    <w:rsid w:val="004007DF"/>
    <w:rsid w:val="00461BE6"/>
    <w:rsid w:val="00480D6D"/>
    <w:rsid w:val="00481AD9"/>
    <w:rsid w:val="00494D87"/>
    <w:rsid w:val="004A2CFF"/>
    <w:rsid w:val="004D4024"/>
    <w:rsid w:val="005314DF"/>
    <w:rsid w:val="00541500"/>
    <w:rsid w:val="00591A12"/>
    <w:rsid w:val="00617A2A"/>
    <w:rsid w:val="0063392F"/>
    <w:rsid w:val="006658B8"/>
    <w:rsid w:val="006A7928"/>
    <w:rsid w:val="006D4834"/>
    <w:rsid w:val="00705B93"/>
    <w:rsid w:val="00757B37"/>
    <w:rsid w:val="0077560F"/>
    <w:rsid w:val="008111AA"/>
    <w:rsid w:val="0082503E"/>
    <w:rsid w:val="00850FA9"/>
    <w:rsid w:val="00854F83"/>
    <w:rsid w:val="008663F2"/>
    <w:rsid w:val="0091025D"/>
    <w:rsid w:val="00911661"/>
    <w:rsid w:val="0097221B"/>
    <w:rsid w:val="00987C5B"/>
    <w:rsid w:val="009A14F5"/>
    <w:rsid w:val="009B65EE"/>
    <w:rsid w:val="009C2030"/>
    <w:rsid w:val="009F05AC"/>
    <w:rsid w:val="00A12815"/>
    <w:rsid w:val="00A2499E"/>
    <w:rsid w:val="00A44420"/>
    <w:rsid w:val="00A8790E"/>
    <w:rsid w:val="00AA72FA"/>
    <w:rsid w:val="00AA7F48"/>
    <w:rsid w:val="00AB7220"/>
    <w:rsid w:val="00AD6CC9"/>
    <w:rsid w:val="00AD7E07"/>
    <w:rsid w:val="00B02935"/>
    <w:rsid w:val="00B04404"/>
    <w:rsid w:val="00B21DFF"/>
    <w:rsid w:val="00BC7F2C"/>
    <w:rsid w:val="00BE0F96"/>
    <w:rsid w:val="00BF377B"/>
    <w:rsid w:val="00C15DFB"/>
    <w:rsid w:val="00C92968"/>
    <w:rsid w:val="00D06769"/>
    <w:rsid w:val="00D41F34"/>
    <w:rsid w:val="00D61B24"/>
    <w:rsid w:val="00D6363C"/>
    <w:rsid w:val="00D641C5"/>
    <w:rsid w:val="00D77415"/>
    <w:rsid w:val="00DB5975"/>
    <w:rsid w:val="00DE4153"/>
    <w:rsid w:val="00DF0558"/>
    <w:rsid w:val="00DF252F"/>
    <w:rsid w:val="00E00552"/>
    <w:rsid w:val="00E35EAD"/>
    <w:rsid w:val="00E36BFC"/>
    <w:rsid w:val="00E717C8"/>
    <w:rsid w:val="00E85197"/>
    <w:rsid w:val="00E97E6B"/>
    <w:rsid w:val="00EF671B"/>
    <w:rsid w:val="00EF6BDE"/>
    <w:rsid w:val="00F6748C"/>
    <w:rsid w:val="00FF2E8B"/>
    <w:rsid w:val="00FF5C0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F4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4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4404"/>
    <w:pPr>
      <w:ind w:left="720"/>
      <w:contextualSpacing/>
    </w:pPr>
  </w:style>
</w:styles>
</file>

<file path=word/webSettings.xml><?xml version="1.0" encoding="utf-8"?>
<w:webSettings xmlns:r="http://schemas.openxmlformats.org/officeDocument/2006/relationships" xmlns:w="http://schemas.openxmlformats.org/wordprocessingml/2006/main">
  <w:divs>
    <w:div w:id="20447447">
      <w:bodyDiv w:val="1"/>
      <w:marLeft w:val="0"/>
      <w:marRight w:val="0"/>
      <w:marTop w:val="0"/>
      <w:marBottom w:val="0"/>
      <w:divBdr>
        <w:top w:val="none" w:sz="0" w:space="0" w:color="auto"/>
        <w:left w:val="none" w:sz="0" w:space="0" w:color="auto"/>
        <w:bottom w:val="none" w:sz="0" w:space="0" w:color="auto"/>
        <w:right w:val="none" w:sz="0" w:space="0" w:color="auto"/>
      </w:divBdr>
    </w:div>
    <w:div w:id="20668159">
      <w:bodyDiv w:val="1"/>
      <w:marLeft w:val="0"/>
      <w:marRight w:val="0"/>
      <w:marTop w:val="0"/>
      <w:marBottom w:val="0"/>
      <w:divBdr>
        <w:top w:val="none" w:sz="0" w:space="0" w:color="auto"/>
        <w:left w:val="none" w:sz="0" w:space="0" w:color="auto"/>
        <w:bottom w:val="none" w:sz="0" w:space="0" w:color="auto"/>
        <w:right w:val="none" w:sz="0" w:space="0" w:color="auto"/>
      </w:divBdr>
      <w:divsChild>
        <w:div w:id="496964537">
          <w:marLeft w:val="0"/>
          <w:marRight w:val="0"/>
          <w:marTop w:val="0"/>
          <w:marBottom w:val="0"/>
          <w:divBdr>
            <w:top w:val="none" w:sz="0" w:space="0" w:color="auto"/>
            <w:left w:val="none" w:sz="0" w:space="0" w:color="auto"/>
            <w:bottom w:val="none" w:sz="0" w:space="0" w:color="auto"/>
            <w:right w:val="none" w:sz="0" w:space="0" w:color="auto"/>
          </w:divBdr>
          <w:divsChild>
            <w:div w:id="189953360">
              <w:marLeft w:val="0"/>
              <w:marRight w:val="0"/>
              <w:marTop w:val="0"/>
              <w:marBottom w:val="0"/>
              <w:divBdr>
                <w:top w:val="single" w:sz="6" w:space="2" w:color="A9A9A9"/>
                <w:left w:val="single" w:sz="6" w:space="2" w:color="A9A9A9"/>
                <w:bottom w:val="single" w:sz="6" w:space="2" w:color="A9A9A9"/>
                <w:right w:val="single" w:sz="6" w:space="2" w:color="A9A9A9"/>
              </w:divBdr>
            </w:div>
          </w:divsChild>
        </w:div>
        <w:div w:id="843666301">
          <w:marLeft w:val="0"/>
          <w:marRight w:val="0"/>
          <w:marTop w:val="120"/>
          <w:marBottom w:val="0"/>
          <w:divBdr>
            <w:top w:val="none" w:sz="0" w:space="0" w:color="auto"/>
            <w:left w:val="none" w:sz="0" w:space="0" w:color="auto"/>
            <w:bottom w:val="none" w:sz="0" w:space="0" w:color="auto"/>
            <w:right w:val="none" w:sz="0" w:space="0" w:color="auto"/>
          </w:divBdr>
        </w:div>
      </w:divsChild>
    </w:div>
    <w:div w:id="438262989">
      <w:bodyDiv w:val="1"/>
      <w:marLeft w:val="0"/>
      <w:marRight w:val="0"/>
      <w:marTop w:val="0"/>
      <w:marBottom w:val="0"/>
      <w:divBdr>
        <w:top w:val="none" w:sz="0" w:space="0" w:color="auto"/>
        <w:left w:val="none" w:sz="0" w:space="0" w:color="auto"/>
        <w:bottom w:val="none" w:sz="0" w:space="0" w:color="auto"/>
        <w:right w:val="none" w:sz="0" w:space="0" w:color="auto"/>
      </w:divBdr>
    </w:div>
    <w:div w:id="604702212">
      <w:bodyDiv w:val="1"/>
      <w:marLeft w:val="0"/>
      <w:marRight w:val="0"/>
      <w:marTop w:val="0"/>
      <w:marBottom w:val="0"/>
      <w:divBdr>
        <w:top w:val="none" w:sz="0" w:space="0" w:color="auto"/>
        <w:left w:val="none" w:sz="0" w:space="0" w:color="auto"/>
        <w:bottom w:val="none" w:sz="0" w:space="0" w:color="auto"/>
        <w:right w:val="none" w:sz="0" w:space="0" w:color="auto"/>
      </w:divBdr>
    </w:div>
    <w:div w:id="673653450">
      <w:bodyDiv w:val="1"/>
      <w:marLeft w:val="0"/>
      <w:marRight w:val="0"/>
      <w:marTop w:val="0"/>
      <w:marBottom w:val="0"/>
      <w:divBdr>
        <w:top w:val="none" w:sz="0" w:space="0" w:color="auto"/>
        <w:left w:val="none" w:sz="0" w:space="0" w:color="auto"/>
        <w:bottom w:val="none" w:sz="0" w:space="0" w:color="auto"/>
        <w:right w:val="none" w:sz="0" w:space="0" w:color="auto"/>
      </w:divBdr>
    </w:div>
    <w:div w:id="742684480">
      <w:bodyDiv w:val="1"/>
      <w:marLeft w:val="0"/>
      <w:marRight w:val="0"/>
      <w:marTop w:val="0"/>
      <w:marBottom w:val="0"/>
      <w:divBdr>
        <w:top w:val="none" w:sz="0" w:space="0" w:color="auto"/>
        <w:left w:val="none" w:sz="0" w:space="0" w:color="auto"/>
        <w:bottom w:val="none" w:sz="0" w:space="0" w:color="auto"/>
        <w:right w:val="none" w:sz="0" w:space="0" w:color="auto"/>
      </w:divBdr>
    </w:div>
    <w:div w:id="762336048">
      <w:bodyDiv w:val="1"/>
      <w:marLeft w:val="0"/>
      <w:marRight w:val="0"/>
      <w:marTop w:val="0"/>
      <w:marBottom w:val="0"/>
      <w:divBdr>
        <w:top w:val="none" w:sz="0" w:space="0" w:color="auto"/>
        <w:left w:val="none" w:sz="0" w:space="0" w:color="auto"/>
        <w:bottom w:val="none" w:sz="0" w:space="0" w:color="auto"/>
        <w:right w:val="none" w:sz="0" w:space="0" w:color="auto"/>
      </w:divBdr>
    </w:div>
    <w:div w:id="825827079">
      <w:bodyDiv w:val="1"/>
      <w:marLeft w:val="0"/>
      <w:marRight w:val="0"/>
      <w:marTop w:val="0"/>
      <w:marBottom w:val="0"/>
      <w:divBdr>
        <w:top w:val="none" w:sz="0" w:space="0" w:color="auto"/>
        <w:left w:val="none" w:sz="0" w:space="0" w:color="auto"/>
        <w:bottom w:val="none" w:sz="0" w:space="0" w:color="auto"/>
        <w:right w:val="none" w:sz="0" w:space="0" w:color="auto"/>
      </w:divBdr>
    </w:div>
    <w:div w:id="897328999">
      <w:bodyDiv w:val="1"/>
      <w:marLeft w:val="0"/>
      <w:marRight w:val="0"/>
      <w:marTop w:val="0"/>
      <w:marBottom w:val="0"/>
      <w:divBdr>
        <w:top w:val="none" w:sz="0" w:space="0" w:color="auto"/>
        <w:left w:val="none" w:sz="0" w:space="0" w:color="auto"/>
        <w:bottom w:val="none" w:sz="0" w:space="0" w:color="auto"/>
        <w:right w:val="none" w:sz="0" w:space="0" w:color="auto"/>
      </w:divBdr>
    </w:div>
    <w:div w:id="1129980222">
      <w:bodyDiv w:val="1"/>
      <w:marLeft w:val="0"/>
      <w:marRight w:val="0"/>
      <w:marTop w:val="0"/>
      <w:marBottom w:val="0"/>
      <w:divBdr>
        <w:top w:val="none" w:sz="0" w:space="0" w:color="auto"/>
        <w:left w:val="none" w:sz="0" w:space="0" w:color="auto"/>
        <w:bottom w:val="none" w:sz="0" w:space="0" w:color="auto"/>
        <w:right w:val="none" w:sz="0" w:space="0" w:color="auto"/>
      </w:divBdr>
    </w:div>
    <w:div w:id="1133787861">
      <w:bodyDiv w:val="1"/>
      <w:marLeft w:val="0"/>
      <w:marRight w:val="0"/>
      <w:marTop w:val="0"/>
      <w:marBottom w:val="0"/>
      <w:divBdr>
        <w:top w:val="none" w:sz="0" w:space="0" w:color="auto"/>
        <w:left w:val="none" w:sz="0" w:space="0" w:color="auto"/>
        <w:bottom w:val="none" w:sz="0" w:space="0" w:color="auto"/>
        <w:right w:val="none" w:sz="0" w:space="0" w:color="auto"/>
      </w:divBdr>
    </w:div>
    <w:div w:id="1225330528">
      <w:bodyDiv w:val="1"/>
      <w:marLeft w:val="0"/>
      <w:marRight w:val="0"/>
      <w:marTop w:val="0"/>
      <w:marBottom w:val="0"/>
      <w:divBdr>
        <w:top w:val="none" w:sz="0" w:space="0" w:color="auto"/>
        <w:left w:val="none" w:sz="0" w:space="0" w:color="auto"/>
        <w:bottom w:val="none" w:sz="0" w:space="0" w:color="auto"/>
        <w:right w:val="none" w:sz="0" w:space="0" w:color="auto"/>
      </w:divBdr>
    </w:div>
    <w:div w:id="1310551417">
      <w:bodyDiv w:val="1"/>
      <w:marLeft w:val="0"/>
      <w:marRight w:val="0"/>
      <w:marTop w:val="0"/>
      <w:marBottom w:val="0"/>
      <w:divBdr>
        <w:top w:val="none" w:sz="0" w:space="0" w:color="auto"/>
        <w:left w:val="none" w:sz="0" w:space="0" w:color="auto"/>
        <w:bottom w:val="none" w:sz="0" w:space="0" w:color="auto"/>
        <w:right w:val="none" w:sz="0" w:space="0" w:color="auto"/>
      </w:divBdr>
    </w:div>
    <w:div w:id="1394503095">
      <w:bodyDiv w:val="1"/>
      <w:marLeft w:val="0"/>
      <w:marRight w:val="0"/>
      <w:marTop w:val="0"/>
      <w:marBottom w:val="0"/>
      <w:divBdr>
        <w:top w:val="none" w:sz="0" w:space="0" w:color="auto"/>
        <w:left w:val="none" w:sz="0" w:space="0" w:color="auto"/>
        <w:bottom w:val="none" w:sz="0" w:space="0" w:color="auto"/>
        <w:right w:val="none" w:sz="0" w:space="0" w:color="auto"/>
      </w:divBdr>
    </w:div>
    <w:div w:id="1433159183">
      <w:bodyDiv w:val="1"/>
      <w:marLeft w:val="0"/>
      <w:marRight w:val="0"/>
      <w:marTop w:val="0"/>
      <w:marBottom w:val="0"/>
      <w:divBdr>
        <w:top w:val="none" w:sz="0" w:space="0" w:color="auto"/>
        <w:left w:val="none" w:sz="0" w:space="0" w:color="auto"/>
        <w:bottom w:val="none" w:sz="0" w:space="0" w:color="auto"/>
        <w:right w:val="none" w:sz="0" w:space="0" w:color="auto"/>
      </w:divBdr>
    </w:div>
    <w:div w:id="1516338144">
      <w:bodyDiv w:val="1"/>
      <w:marLeft w:val="0"/>
      <w:marRight w:val="0"/>
      <w:marTop w:val="0"/>
      <w:marBottom w:val="0"/>
      <w:divBdr>
        <w:top w:val="none" w:sz="0" w:space="0" w:color="auto"/>
        <w:left w:val="none" w:sz="0" w:space="0" w:color="auto"/>
        <w:bottom w:val="none" w:sz="0" w:space="0" w:color="auto"/>
        <w:right w:val="none" w:sz="0" w:space="0" w:color="auto"/>
      </w:divBdr>
    </w:div>
    <w:div w:id="1707483910">
      <w:bodyDiv w:val="1"/>
      <w:marLeft w:val="0"/>
      <w:marRight w:val="0"/>
      <w:marTop w:val="0"/>
      <w:marBottom w:val="0"/>
      <w:divBdr>
        <w:top w:val="none" w:sz="0" w:space="0" w:color="auto"/>
        <w:left w:val="none" w:sz="0" w:space="0" w:color="auto"/>
        <w:bottom w:val="none" w:sz="0" w:space="0" w:color="auto"/>
        <w:right w:val="none" w:sz="0" w:space="0" w:color="auto"/>
      </w:divBdr>
    </w:div>
    <w:div w:id="175296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Aboriginal_tit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n.wikipedia.org/wiki/Aboriginal_titl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Aboriginal_peoples_in_Canada" TargetMode="External"/><Relationship Id="rId11" Type="http://schemas.openxmlformats.org/officeDocument/2006/relationships/hyperlink" Target="http://indigenousfoundations.arts.ubc.ca/home/government-policy/constitution-act-1982-section-35.html" TargetMode="External"/><Relationship Id="rId5" Type="http://schemas.openxmlformats.org/officeDocument/2006/relationships/hyperlink" Target="http://en.wikipedia.org/wiki/Supreme_Court_of_Canada" TargetMode="External"/><Relationship Id="rId10" Type="http://schemas.openxmlformats.org/officeDocument/2006/relationships/hyperlink" Target="http://indigenousfoundations.arts.ubc.ca/home/government-policy/the-indian-act.html" TargetMode="External"/><Relationship Id="rId4" Type="http://schemas.openxmlformats.org/officeDocument/2006/relationships/webSettings" Target="webSettings.xml"/><Relationship Id="rId9" Type="http://schemas.openxmlformats.org/officeDocument/2006/relationships/hyperlink" Target="http://indigenousfoundations.arts.ubc.ca/home/government-policy/reserves.html" TargetMode="Externa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14370</Words>
  <Characters>81915</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96093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Manuel</dc:creator>
  <cp:lastModifiedBy>Justin</cp:lastModifiedBy>
  <cp:revision>2</cp:revision>
  <dcterms:created xsi:type="dcterms:W3CDTF">2012-12-10T18:35:00Z</dcterms:created>
  <dcterms:modified xsi:type="dcterms:W3CDTF">2012-12-10T18:35:00Z</dcterms:modified>
</cp:coreProperties>
</file>