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C9F8B01" w14:textId="77777777" w:rsidR="00CD7B44" w:rsidRPr="005B0E92" w:rsidRDefault="00CD7B44">
      <w:pPr>
        <w:rPr>
          <w:b/>
          <w:sz w:val="28"/>
          <w:szCs w:val="28"/>
          <w:u w:val="single"/>
        </w:rPr>
      </w:pPr>
      <w:r w:rsidRPr="005B0E92">
        <w:rPr>
          <w:b/>
          <w:sz w:val="28"/>
          <w:szCs w:val="28"/>
          <w:u w:val="single"/>
        </w:rPr>
        <w:t>Chapter 1: Introduction</w:t>
      </w:r>
    </w:p>
    <w:p w14:paraId="5FA4570A" w14:textId="77777777" w:rsidR="00CD7B44" w:rsidRPr="005B0E92" w:rsidRDefault="00CD7B44">
      <w:pPr>
        <w:rPr>
          <w:b/>
        </w:rPr>
      </w:pPr>
      <w:r w:rsidRPr="005B0E92">
        <w:rPr>
          <w:b/>
        </w:rPr>
        <w:t>1.9: The Importance of Information Asymmetry</w:t>
      </w:r>
    </w:p>
    <w:p w14:paraId="3EAC1062" w14:textId="77777777" w:rsidR="00CD7B44" w:rsidRDefault="00CD7B44" w:rsidP="00CD7B44">
      <w:pPr>
        <w:pStyle w:val="ListParagraph"/>
        <w:numPr>
          <w:ilvl w:val="0"/>
          <w:numId w:val="1"/>
        </w:numPr>
      </w:pPr>
      <w:r>
        <w:t>Some parties to a business transaction may have an information advantage over others</w:t>
      </w:r>
    </w:p>
    <w:p w14:paraId="69FD576A" w14:textId="77777777" w:rsidR="00CD7B44" w:rsidRDefault="00CD7B44" w:rsidP="00CD7B44">
      <w:pPr>
        <w:pStyle w:val="ListParagraph"/>
        <w:numPr>
          <w:ilvl w:val="1"/>
          <w:numId w:val="1"/>
        </w:numPr>
      </w:pPr>
      <w:r>
        <w:t>This is information asymmetry</w:t>
      </w:r>
    </w:p>
    <w:p w14:paraId="370F7937" w14:textId="77777777" w:rsidR="00CD7B44" w:rsidRDefault="00CD7B44" w:rsidP="005B0E92">
      <w:pPr>
        <w:pStyle w:val="ListParagraph"/>
        <w:numPr>
          <w:ilvl w:val="0"/>
          <w:numId w:val="1"/>
        </w:numPr>
      </w:pPr>
      <w:r w:rsidRPr="00CD7B44">
        <w:rPr>
          <w:b/>
        </w:rPr>
        <w:t>1. Adverse Selection:</w:t>
      </w:r>
      <w:r>
        <w:t xml:space="preserve"> </w:t>
      </w:r>
      <w:r w:rsidRPr="00CD7B44">
        <w:rPr>
          <w:i/>
        </w:rPr>
        <w:t>a type of information asymmetry whereby one or more parties to a business transaction, or potential transaction, have an information advantage over other parties</w:t>
      </w:r>
    </w:p>
    <w:p w14:paraId="67AA088C" w14:textId="77777777" w:rsidR="00CD7B44" w:rsidRDefault="00CD7B44" w:rsidP="005B0E92">
      <w:pPr>
        <w:pStyle w:val="ListParagraph"/>
        <w:numPr>
          <w:ilvl w:val="1"/>
          <w:numId w:val="1"/>
        </w:numPr>
      </w:pPr>
      <w:r>
        <w:t>Occurs because some persons (firm managers or other outsiders) will know more about the current condition and future prospects of the firm than outside investors</w:t>
      </w:r>
    </w:p>
    <w:p w14:paraId="0116CD56" w14:textId="77777777" w:rsidR="00CD7B44" w:rsidRDefault="00CD7B44" w:rsidP="005B0E92">
      <w:pPr>
        <w:pStyle w:val="ListParagraph"/>
        <w:numPr>
          <w:ilvl w:val="1"/>
          <w:numId w:val="1"/>
        </w:numPr>
      </w:pPr>
      <w:r>
        <w:t>Managers may behave opportunistically by biasing or otherwise managing the information released to investors, perhaps to increase the value of stock options they hold</w:t>
      </w:r>
    </w:p>
    <w:p w14:paraId="62D013FD" w14:textId="77777777" w:rsidR="00CD7B44" w:rsidRDefault="00CD7B44" w:rsidP="005B0E92">
      <w:pPr>
        <w:pStyle w:val="ListParagraph"/>
        <w:numPr>
          <w:ilvl w:val="1"/>
          <w:numId w:val="1"/>
        </w:numPr>
      </w:pPr>
      <w:r>
        <w:t>May delay or selectively release information early to selected investors or analysts, enabling insiders to benefit at the expense of ordinary investors (insider trading)</w:t>
      </w:r>
    </w:p>
    <w:p w14:paraId="639BB025" w14:textId="77777777" w:rsidR="00CD7B44" w:rsidRDefault="00CD7B44" w:rsidP="005B0E92">
      <w:pPr>
        <w:pStyle w:val="ListParagraph"/>
        <w:numPr>
          <w:ilvl w:val="1"/>
          <w:numId w:val="1"/>
        </w:numPr>
      </w:pPr>
      <w:r>
        <w:t>T</w:t>
      </w:r>
      <w:r w:rsidRPr="00CD7B44">
        <w:t>actics that are adverse to the interests of ordinary investors, thus reducing their ability to make good investment decisions</w:t>
      </w:r>
    </w:p>
    <w:p w14:paraId="66C15B93" w14:textId="77777777" w:rsidR="00453C3E" w:rsidRDefault="005B0E92" w:rsidP="00453C3E">
      <w:pPr>
        <w:pStyle w:val="ListParagraph"/>
        <w:numPr>
          <w:ilvl w:val="1"/>
          <w:numId w:val="1"/>
        </w:numPr>
      </w:pPr>
      <w:r>
        <w:t>Role of accounting is to provide full disclosure of useful cost-effective information to investors and other financial statement users</w:t>
      </w:r>
    </w:p>
    <w:p w14:paraId="22E2F1F8" w14:textId="77777777" w:rsidR="00CD7B44" w:rsidRPr="00CD7B44" w:rsidRDefault="00CD7B44" w:rsidP="005B0E92">
      <w:pPr>
        <w:pStyle w:val="ListParagraph"/>
        <w:numPr>
          <w:ilvl w:val="0"/>
          <w:numId w:val="1"/>
        </w:numPr>
        <w:rPr>
          <w:i/>
        </w:rPr>
      </w:pPr>
      <w:r w:rsidRPr="00CD7B44">
        <w:rPr>
          <w:b/>
        </w:rPr>
        <w:t>2. Moral Hazard:</w:t>
      </w:r>
      <w:r>
        <w:t xml:space="preserve"> </w:t>
      </w:r>
      <w:r w:rsidRPr="00CD7B44">
        <w:rPr>
          <w:i/>
        </w:rPr>
        <w:t xml:space="preserve">a type of information asymmetry whereby one or more parties to a business transaction, or potential transaction, can observe their actions in fulfillment of the transaction but </w:t>
      </w:r>
      <w:proofErr w:type="gramStart"/>
      <w:r w:rsidRPr="00CD7B44">
        <w:rPr>
          <w:i/>
        </w:rPr>
        <w:t>other</w:t>
      </w:r>
      <w:proofErr w:type="gramEnd"/>
      <w:r w:rsidRPr="00CD7B44">
        <w:rPr>
          <w:i/>
        </w:rPr>
        <w:t xml:space="preserve"> parties cannot</w:t>
      </w:r>
    </w:p>
    <w:p w14:paraId="77696938" w14:textId="77777777" w:rsidR="00CD7B44" w:rsidRDefault="00CD7B44" w:rsidP="005B0E92">
      <w:pPr>
        <w:pStyle w:val="ListParagraph"/>
        <w:numPr>
          <w:ilvl w:val="1"/>
          <w:numId w:val="1"/>
        </w:numPr>
      </w:pPr>
      <w:r>
        <w:t>Occurs because of the separation of ownership and control – impossible for shareholders and creditors to observe directly the extent and quality of management effort on their behalf</w:t>
      </w:r>
    </w:p>
    <w:p w14:paraId="21F6770A" w14:textId="77777777" w:rsidR="00CD7B44" w:rsidRDefault="00CD7B44" w:rsidP="005B0E92">
      <w:pPr>
        <w:pStyle w:val="ListParagraph"/>
        <w:numPr>
          <w:ilvl w:val="1"/>
          <w:numId w:val="1"/>
        </w:numPr>
      </w:pPr>
      <w:r>
        <w:t>Managers may be tempted to shirk on effort, blaming any deterioration of firm performance on factors beyond his/her control, or biasing reported earnings to cover up</w:t>
      </w:r>
    </w:p>
    <w:p w14:paraId="0741917A" w14:textId="77777777" w:rsidR="00CD7B44" w:rsidRDefault="00CD7B44" w:rsidP="005B0E92">
      <w:pPr>
        <w:pStyle w:val="ListParagraph"/>
        <w:numPr>
          <w:ilvl w:val="1"/>
          <w:numId w:val="1"/>
        </w:numPr>
      </w:pPr>
      <w:r>
        <w:t>View of accounting net income as a measure of managerial performance</w:t>
      </w:r>
    </w:p>
    <w:p w14:paraId="7976BCCC" w14:textId="77777777" w:rsidR="005B0E92" w:rsidRPr="005B0E92" w:rsidRDefault="005B0E92" w:rsidP="005B0E92">
      <w:pPr>
        <w:rPr>
          <w:b/>
        </w:rPr>
      </w:pPr>
      <w:r w:rsidRPr="005B0E92">
        <w:rPr>
          <w:b/>
        </w:rPr>
        <w:t>1.12 Ideal Conditions</w:t>
      </w:r>
    </w:p>
    <w:p w14:paraId="5B35E940" w14:textId="77777777" w:rsidR="005B0E92" w:rsidRDefault="005B0E92" w:rsidP="005B0E92">
      <w:pPr>
        <w:pStyle w:val="ListParagraph"/>
        <w:numPr>
          <w:ilvl w:val="0"/>
          <w:numId w:val="2"/>
        </w:numPr>
      </w:pPr>
      <w:r>
        <w:t>Ideal conditions – meaning an economy where firms’ future cash flows and their probabilities are known</w:t>
      </w:r>
    </w:p>
    <w:p w14:paraId="3E4221EE" w14:textId="77777777" w:rsidR="005B0E92" w:rsidRDefault="005B0E92" w:rsidP="005B0E92">
      <w:pPr>
        <w:pStyle w:val="ListParagraph"/>
        <w:numPr>
          <w:ilvl w:val="0"/>
          <w:numId w:val="2"/>
        </w:numPr>
      </w:pPr>
      <w:r>
        <w:t>The economy has perfect and complete markets, or equivalently, a lack of information asymmetry and other barriers to fair and efficient working of markets</w:t>
      </w:r>
    </w:p>
    <w:p w14:paraId="0A1C6D99" w14:textId="77777777" w:rsidR="005B0E92" w:rsidRDefault="005B0E92" w:rsidP="005B0E92">
      <w:pPr>
        <w:pStyle w:val="ListParagraph"/>
        <w:numPr>
          <w:ilvl w:val="0"/>
          <w:numId w:val="2"/>
        </w:numPr>
      </w:pPr>
      <w:r>
        <w:t>Asset and liability valuation is on the basis of expected present values of future cash flows (value-in-use)</w:t>
      </w:r>
    </w:p>
    <w:p w14:paraId="7FA53AA7" w14:textId="77777777" w:rsidR="005B0E92" w:rsidRDefault="005B0E92" w:rsidP="005B0E92">
      <w:pPr>
        <w:pStyle w:val="ListParagraph"/>
        <w:numPr>
          <w:ilvl w:val="0"/>
          <w:numId w:val="2"/>
        </w:numPr>
      </w:pPr>
      <w:r>
        <w:t>Arbitrage ensures that PV and FMV are equal</w:t>
      </w:r>
    </w:p>
    <w:p w14:paraId="00C82217" w14:textId="77777777" w:rsidR="00453C3E" w:rsidRPr="00453C3E" w:rsidRDefault="00453C3E" w:rsidP="00453C3E">
      <w:pPr>
        <w:rPr>
          <w:b/>
        </w:rPr>
      </w:pPr>
      <w:r w:rsidRPr="00453C3E">
        <w:rPr>
          <w:b/>
        </w:rPr>
        <w:t>1.12.1 More on Adverse Selection</w:t>
      </w:r>
    </w:p>
    <w:p w14:paraId="18D084EE" w14:textId="77777777" w:rsidR="00453C3E" w:rsidRDefault="00453C3E" w:rsidP="00453C3E">
      <w:pPr>
        <w:pStyle w:val="ListParagraph"/>
        <w:numPr>
          <w:ilvl w:val="0"/>
          <w:numId w:val="3"/>
        </w:numPr>
      </w:pPr>
      <w:r>
        <w:t>We assume that all investors are rational – the average investor makes decisions so as to maximize his/her expected utility or satisfaction from wealth</w:t>
      </w:r>
    </w:p>
    <w:p w14:paraId="12885743" w14:textId="77777777" w:rsidR="00453C3E" w:rsidRPr="00453C3E" w:rsidRDefault="00453C3E" w:rsidP="00453C3E">
      <w:pPr>
        <w:pStyle w:val="ListParagraph"/>
        <w:numPr>
          <w:ilvl w:val="0"/>
          <w:numId w:val="3"/>
        </w:numPr>
        <w:rPr>
          <w:b/>
        </w:rPr>
      </w:pPr>
      <w:r>
        <w:lastRenderedPageBreak/>
        <w:t xml:space="preserve">The reporting of information that is useful to rational investors is called the </w:t>
      </w:r>
      <w:r w:rsidRPr="00453C3E">
        <w:rPr>
          <w:b/>
        </w:rPr>
        <w:t>decision usefulness approach</w:t>
      </w:r>
    </w:p>
    <w:p w14:paraId="1388582F" w14:textId="77777777" w:rsidR="00453C3E" w:rsidRDefault="00453C3E" w:rsidP="00453C3E">
      <w:pPr>
        <w:pStyle w:val="ListParagraph"/>
        <w:numPr>
          <w:ilvl w:val="0"/>
          <w:numId w:val="3"/>
        </w:numPr>
      </w:pPr>
      <w:r>
        <w:t xml:space="preserve">There are 2 versions of decision </w:t>
      </w:r>
      <w:proofErr w:type="gramStart"/>
      <w:r>
        <w:t>usefulness :</w:t>
      </w:r>
      <w:proofErr w:type="gramEnd"/>
    </w:p>
    <w:p w14:paraId="70ABACB2" w14:textId="77777777" w:rsidR="00453C3E" w:rsidRPr="00453C3E" w:rsidRDefault="00453C3E" w:rsidP="00453C3E">
      <w:pPr>
        <w:pStyle w:val="ListParagraph"/>
        <w:numPr>
          <w:ilvl w:val="1"/>
          <w:numId w:val="3"/>
        </w:numPr>
        <w:rPr>
          <w:b/>
        </w:rPr>
      </w:pPr>
      <w:r w:rsidRPr="00453C3E">
        <w:rPr>
          <w:b/>
        </w:rPr>
        <w:t>1. The Information Approach</w:t>
      </w:r>
    </w:p>
    <w:p w14:paraId="050D11E8" w14:textId="77777777" w:rsidR="00453C3E" w:rsidRDefault="00453C3E" w:rsidP="00453C3E">
      <w:pPr>
        <w:pStyle w:val="ListParagraph"/>
        <w:numPr>
          <w:ilvl w:val="2"/>
          <w:numId w:val="3"/>
        </w:numPr>
      </w:pPr>
      <w:r>
        <w:t>This perspective takes the view that the form of disclosure does not matter – in can be in notes, or in supplementary disclosures such as Reserve Recognition Accounting (</w:t>
      </w:r>
      <w:proofErr w:type="gramStart"/>
      <w:r>
        <w:t>RRA)or</w:t>
      </w:r>
      <w:proofErr w:type="gramEnd"/>
      <w:r>
        <w:t xml:space="preserve"> MD&amp;A</w:t>
      </w:r>
    </w:p>
    <w:p w14:paraId="61749612" w14:textId="77777777" w:rsidR="00453C3E" w:rsidRDefault="00453C3E" w:rsidP="00453C3E">
      <w:pPr>
        <w:pStyle w:val="ListParagraph"/>
        <w:numPr>
          <w:ilvl w:val="2"/>
          <w:numId w:val="3"/>
        </w:numPr>
      </w:pPr>
      <w:r>
        <w:t>Rational investors are regarded as sufficiently sophisticated on average that they can digest the implications of public information from any source</w:t>
      </w:r>
    </w:p>
    <w:p w14:paraId="50AE117F" w14:textId="77777777" w:rsidR="00453C3E" w:rsidRPr="00453C3E" w:rsidRDefault="00453C3E" w:rsidP="00453C3E">
      <w:pPr>
        <w:pStyle w:val="ListParagraph"/>
        <w:numPr>
          <w:ilvl w:val="1"/>
          <w:numId w:val="3"/>
        </w:numPr>
        <w:rPr>
          <w:b/>
        </w:rPr>
      </w:pPr>
      <w:r w:rsidRPr="00453C3E">
        <w:rPr>
          <w:b/>
        </w:rPr>
        <w:t>2. The Measurement Approach</w:t>
      </w:r>
    </w:p>
    <w:p w14:paraId="40E210A0" w14:textId="77777777" w:rsidR="002D4AEC" w:rsidRDefault="00453C3E" w:rsidP="00453C3E">
      <w:pPr>
        <w:pStyle w:val="ListParagraph"/>
        <w:numPr>
          <w:ilvl w:val="2"/>
          <w:numId w:val="3"/>
        </w:numPr>
      </w:pPr>
      <w:r>
        <w:t>Accountants expand their approach to decision usefulness by taking more responsibility for incorporating measurements of current assets and liability values into financial statements (i.e. using current values for leases, pensions, postretirement benefits, financial instruments)</w:t>
      </w:r>
    </w:p>
    <w:p w14:paraId="3BA49BA6" w14:textId="77777777" w:rsidR="002D4AEC" w:rsidRDefault="002D4AEC">
      <w:r>
        <w:br w:type="page"/>
      </w:r>
    </w:p>
    <w:p w14:paraId="34F3FAC2" w14:textId="77777777" w:rsidR="00453C3E" w:rsidRPr="002B0AF6" w:rsidRDefault="002D4AEC" w:rsidP="002D4AEC">
      <w:pPr>
        <w:rPr>
          <w:b/>
          <w:sz w:val="28"/>
          <w:szCs w:val="28"/>
          <w:u w:val="single"/>
        </w:rPr>
      </w:pPr>
      <w:r w:rsidRPr="002B0AF6">
        <w:rPr>
          <w:b/>
          <w:sz w:val="28"/>
          <w:szCs w:val="28"/>
          <w:u w:val="single"/>
        </w:rPr>
        <w:lastRenderedPageBreak/>
        <w:t>Chapter 2: Accounting Under Ideal Conditions</w:t>
      </w:r>
    </w:p>
    <w:p w14:paraId="0EE7BAF2" w14:textId="77777777" w:rsidR="002D4AEC" w:rsidRPr="0021328F" w:rsidRDefault="002D4AEC" w:rsidP="002D4AEC">
      <w:pPr>
        <w:rPr>
          <w:b/>
        </w:rPr>
      </w:pPr>
      <w:r w:rsidRPr="0021328F">
        <w:rPr>
          <w:b/>
        </w:rPr>
        <w:t>2.2 The Present Value Model under Certainty</w:t>
      </w:r>
    </w:p>
    <w:p w14:paraId="6AFBA0EA" w14:textId="77777777" w:rsidR="002D4AEC" w:rsidRDefault="002D4AEC" w:rsidP="002D4AEC">
      <w:pPr>
        <w:pStyle w:val="ListParagraph"/>
        <w:numPr>
          <w:ilvl w:val="0"/>
          <w:numId w:val="4"/>
        </w:numPr>
      </w:pPr>
      <w:r>
        <w:t>Certain Conditions = future cash flows of the firm and the interest rate in the economy are publically known with certainty</w:t>
      </w:r>
    </w:p>
    <w:p w14:paraId="52592A64" w14:textId="77777777" w:rsidR="002D4AEC" w:rsidRPr="00BA6B01" w:rsidRDefault="002D4AEC" w:rsidP="002D4AEC">
      <w:pPr>
        <w:pStyle w:val="ListParagraph"/>
        <w:numPr>
          <w:ilvl w:val="0"/>
          <w:numId w:val="4"/>
        </w:numPr>
        <w:rPr>
          <w:highlight w:val="yellow"/>
        </w:rPr>
      </w:pPr>
      <w:r w:rsidRPr="00BA6B01">
        <w:rPr>
          <w:highlight w:val="yellow"/>
        </w:rPr>
        <w:t>Under Certain Conditions:</w:t>
      </w:r>
    </w:p>
    <w:p w14:paraId="41BC220F" w14:textId="77777777" w:rsidR="002D4AEC" w:rsidRDefault="00BA6B01" w:rsidP="002D4AEC">
      <w:pPr>
        <w:pStyle w:val="ListParagraph"/>
        <w:numPr>
          <w:ilvl w:val="1"/>
          <w:numId w:val="4"/>
        </w:numPr>
      </w:pPr>
      <w:r>
        <w:rPr>
          <w:b/>
          <w:u w:val="single"/>
        </w:rPr>
        <w:t xml:space="preserve">1. </w:t>
      </w:r>
      <w:r w:rsidR="002D4AEC" w:rsidRPr="00BA6B01">
        <w:rPr>
          <w:b/>
          <w:u w:val="single"/>
        </w:rPr>
        <w:t>Net income</w:t>
      </w:r>
      <w:r w:rsidR="002D4AEC">
        <w:t xml:space="preserve"> for the year is equal to the accretion of discount (i.e. PA@time0*</w:t>
      </w:r>
      <w:proofErr w:type="spellStart"/>
      <w:r w:rsidR="002D4AEC">
        <w:t>int.rate</w:t>
      </w:r>
      <w:proofErr w:type="spellEnd"/>
      <w:r w:rsidR="002D4AEC">
        <w:t xml:space="preserve">, where </w:t>
      </w:r>
      <w:proofErr w:type="spellStart"/>
      <w:r w:rsidR="002D4AEC">
        <w:t>int</w:t>
      </w:r>
      <w:proofErr w:type="spellEnd"/>
      <w:r w:rsidR="002D4AEC">
        <w:t xml:space="preserve"> = 10%)</w:t>
      </w:r>
    </w:p>
    <w:p w14:paraId="69736A38" w14:textId="77777777" w:rsidR="0021328F" w:rsidRDefault="0021328F" w:rsidP="0021328F">
      <w:pPr>
        <w:pStyle w:val="ListParagraph"/>
        <w:numPr>
          <w:ilvl w:val="1"/>
          <w:numId w:val="4"/>
        </w:numPr>
      </w:pPr>
      <w:r>
        <w:t>Net income plays no role in firm valuation because future cash flows are known and can be discounted to provide balance sheet valuations</w:t>
      </w:r>
    </w:p>
    <w:p w14:paraId="0BBEDF35" w14:textId="77777777" w:rsidR="00BA6B01" w:rsidRDefault="00BA6B01" w:rsidP="0021328F">
      <w:pPr>
        <w:pStyle w:val="ListParagraph"/>
        <w:numPr>
          <w:ilvl w:val="1"/>
          <w:numId w:val="4"/>
        </w:numPr>
      </w:pPr>
      <w:r>
        <w:t>Net income provides no information that helps investors predict future economic prospects of the firm</w:t>
      </w:r>
    </w:p>
    <w:p w14:paraId="3485A735" w14:textId="77777777" w:rsidR="0021328F" w:rsidRDefault="0021328F" w:rsidP="0021328F">
      <w:pPr>
        <w:pStyle w:val="ListParagraph"/>
        <w:numPr>
          <w:ilvl w:val="1"/>
          <w:numId w:val="4"/>
        </w:numPr>
      </w:pPr>
      <w:r>
        <w:t>The balance sheet contains all the relevant information and income statement contains none</w:t>
      </w:r>
    </w:p>
    <w:p w14:paraId="066C6384" w14:textId="77777777" w:rsidR="002D4AEC" w:rsidRDefault="002D4AEC" w:rsidP="002D4AEC">
      <w:pPr>
        <w:pStyle w:val="ListParagraph"/>
        <w:numPr>
          <w:ilvl w:val="0"/>
          <w:numId w:val="4"/>
        </w:numPr>
      </w:pPr>
      <w:r w:rsidRPr="0021328F">
        <w:rPr>
          <w:i/>
        </w:rPr>
        <w:t>Ex ante</w:t>
      </w:r>
      <w:r>
        <w:t xml:space="preserve"> = expected net income, </w:t>
      </w:r>
      <w:r w:rsidRPr="0021328F">
        <w:rPr>
          <w:i/>
        </w:rPr>
        <w:t>ex post</w:t>
      </w:r>
      <w:r>
        <w:t xml:space="preserve"> = realized net income</w:t>
      </w:r>
    </w:p>
    <w:p w14:paraId="07326878" w14:textId="77777777" w:rsidR="002D4AEC" w:rsidRDefault="002D4AEC" w:rsidP="002D4AEC">
      <w:pPr>
        <w:pStyle w:val="ListParagraph"/>
        <w:numPr>
          <w:ilvl w:val="1"/>
          <w:numId w:val="4"/>
        </w:numPr>
      </w:pPr>
      <w:r>
        <w:t>Under certain conditions ex ante = ex post since all conditions are known with certainty</w:t>
      </w:r>
    </w:p>
    <w:p w14:paraId="33DE68D6" w14:textId="77777777" w:rsidR="002D4AEC" w:rsidRDefault="00BA6B01" w:rsidP="002D4AEC">
      <w:pPr>
        <w:pStyle w:val="ListParagraph"/>
        <w:numPr>
          <w:ilvl w:val="0"/>
          <w:numId w:val="4"/>
        </w:numPr>
      </w:pPr>
      <w:r w:rsidRPr="00BA6B01">
        <w:rPr>
          <w:b/>
          <w:u w:val="single"/>
        </w:rPr>
        <w:t xml:space="preserve">2. </w:t>
      </w:r>
      <w:r w:rsidR="0021328F" w:rsidRPr="00BA6B01">
        <w:rPr>
          <w:b/>
          <w:u w:val="single"/>
        </w:rPr>
        <w:t>Relevant</w:t>
      </w:r>
      <w:r w:rsidR="0021328F">
        <w:t xml:space="preserve"> financial statement information gives information to investors about the firm’s FUTURE economic prospects</w:t>
      </w:r>
    </w:p>
    <w:p w14:paraId="766897C8" w14:textId="77777777" w:rsidR="0021328F" w:rsidRDefault="0021328F" w:rsidP="0021328F">
      <w:pPr>
        <w:pStyle w:val="ListParagraph"/>
        <w:numPr>
          <w:ilvl w:val="1"/>
          <w:numId w:val="4"/>
        </w:numPr>
      </w:pPr>
      <w:r>
        <w:t>PV accounting is completely relevant under ideal conditions because future cash flows are known with certainty</w:t>
      </w:r>
    </w:p>
    <w:p w14:paraId="2593BCC8" w14:textId="77777777" w:rsidR="0021328F" w:rsidRDefault="0021328F" w:rsidP="0021328F">
      <w:pPr>
        <w:pStyle w:val="ListParagraph"/>
        <w:numPr>
          <w:ilvl w:val="0"/>
          <w:numId w:val="4"/>
        </w:numPr>
      </w:pPr>
      <w:r>
        <w:t xml:space="preserve">Under ideal conditions there is </w:t>
      </w:r>
      <w:r w:rsidRPr="0021328F">
        <w:rPr>
          <w:b/>
        </w:rPr>
        <w:t>dividend irrelevancy</w:t>
      </w:r>
      <w:r>
        <w:t>:</w:t>
      </w:r>
    </w:p>
    <w:p w14:paraId="2FBE1881" w14:textId="77777777" w:rsidR="0021328F" w:rsidRDefault="0021328F" w:rsidP="0021328F">
      <w:pPr>
        <w:pStyle w:val="ListParagraph"/>
        <w:numPr>
          <w:ilvl w:val="1"/>
          <w:numId w:val="4"/>
        </w:numPr>
      </w:pPr>
      <w:r>
        <w:t xml:space="preserve">As long as investors can invest any dividends they receive at the </w:t>
      </w:r>
      <w:r w:rsidRPr="0021328F">
        <w:rPr>
          <w:u w:val="single"/>
        </w:rPr>
        <w:t>same rate</w:t>
      </w:r>
      <w:r>
        <w:t xml:space="preserve"> of return as the firm earns on cash flows not paid in dividends, the PV of an investor’s overall interest in the firm is independent of the timing of dividends</w:t>
      </w:r>
    </w:p>
    <w:p w14:paraId="2ABECA28" w14:textId="77777777" w:rsidR="0021328F" w:rsidRDefault="0021328F" w:rsidP="0021328F">
      <w:pPr>
        <w:pStyle w:val="ListParagraph"/>
        <w:numPr>
          <w:ilvl w:val="1"/>
          <w:numId w:val="4"/>
        </w:numPr>
      </w:pPr>
      <w:r>
        <w:t>Under Ideal conditions there is only one interest rate in the economy</w:t>
      </w:r>
    </w:p>
    <w:p w14:paraId="745E2A55" w14:textId="77777777" w:rsidR="0021328F" w:rsidRDefault="0021328F" w:rsidP="0021328F">
      <w:pPr>
        <w:pStyle w:val="ListParagraph"/>
        <w:numPr>
          <w:ilvl w:val="1"/>
          <w:numId w:val="4"/>
        </w:numPr>
      </w:pPr>
      <w:r>
        <w:t>If firm pays out dividends, they earn 10% on the distributions. If distributed in a subsequent year, the firm earns 10% on amount not distributed which increases the value of their investment</w:t>
      </w:r>
    </w:p>
    <w:p w14:paraId="5B8AFBDC" w14:textId="77777777" w:rsidR="0021328F" w:rsidRDefault="0021328F" w:rsidP="0021328F">
      <w:pPr>
        <w:pStyle w:val="ListParagraph"/>
        <w:numPr>
          <w:ilvl w:val="0"/>
          <w:numId w:val="4"/>
        </w:numPr>
      </w:pPr>
      <w:r>
        <w:t>** Under dividend irrelevancy, cash flows are just as relevant as dividends because cash flows establish the firm’s dividend-paying ability. So, f/s are completely relevant</w:t>
      </w:r>
    </w:p>
    <w:p w14:paraId="7DECFFDC" w14:textId="77777777" w:rsidR="0021328F" w:rsidRDefault="00BA6B01" w:rsidP="0021328F">
      <w:pPr>
        <w:pStyle w:val="ListParagraph"/>
        <w:numPr>
          <w:ilvl w:val="0"/>
          <w:numId w:val="4"/>
        </w:numPr>
      </w:pPr>
      <w:r w:rsidRPr="00BA6B01">
        <w:rPr>
          <w:b/>
        </w:rPr>
        <w:t>3. Reliable</w:t>
      </w:r>
      <w:r>
        <w:t xml:space="preserve"> financial statement faithfully represents what it is intended to represent</w:t>
      </w:r>
    </w:p>
    <w:p w14:paraId="08208C11" w14:textId="77777777" w:rsidR="00BA6B01" w:rsidRDefault="00BA6B01" w:rsidP="00BA6B01">
      <w:pPr>
        <w:pStyle w:val="ListParagraph"/>
        <w:numPr>
          <w:ilvl w:val="1"/>
          <w:numId w:val="4"/>
        </w:numPr>
      </w:pPr>
      <w:r>
        <w:t>PV accounting completely reliable under ideal conditions because with known future cash flows, balance sheet valuations faithfully represent underlying assets and liabilities of the firm</w:t>
      </w:r>
    </w:p>
    <w:p w14:paraId="63AA2670" w14:textId="77777777" w:rsidR="00BA6B01" w:rsidRDefault="00BA6B01" w:rsidP="00BA6B01">
      <w:pPr>
        <w:pStyle w:val="ListParagraph"/>
        <w:numPr>
          <w:ilvl w:val="1"/>
          <w:numId w:val="4"/>
        </w:numPr>
      </w:pPr>
      <w:r>
        <w:t>Management bias would be known b/c the various inputs are publically known</w:t>
      </w:r>
    </w:p>
    <w:p w14:paraId="119194B8" w14:textId="77777777" w:rsidR="00BA6B01" w:rsidRDefault="00BA6B01" w:rsidP="00BA6B01">
      <w:pPr>
        <w:pStyle w:val="ListParagraph"/>
        <w:numPr>
          <w:ilvl w:val="0"/>
          <w:numId w:val="4"/>
        </w:numPr>
      </w:pPr>
      <w:r>
        <w:t>Under ideal conditions, the PV of an asset or liability = its market value</w:t>
      </w:r>
    </w:p>
    <w:p w14:paraId="19031E41" w14:textId="77777777" w:rsidR="00BA6B01" w:rsidRDefault="006E4B17" w:rsidP="006E4B17">
      <w:pPr>
        <w:pStyle w:val="ListParagraph"/>
        <w:numPr>
          <w:ilvl w:val="1"/>
          <w:numId w:val="4"/>
        </w:numPr>
      </w:pPr>
      <w:r>
        <w:t>Arbitrage ensures this because if future cash flows and the risk-free rate is known, self-interested individuals will make the arbitrage profits and eliminate any price discrepancies</w:t>
      </w:r>
    </w:p>
    <w:p w14:paraId="27AC5B10" w14:textId="77777777" w:rsidR="001B3B67" w:rsidRDefault="001B3B67" w:rsidP="006E4B17"/>
    <w:p w14:paraId="1A2E382D" w14:textId="77777777" w:rsidR="006E4B17" w:rsidRPr="002B0AF6" w:rsidRDefault="006E4B17" w:rsidP="006E4B17">
      <w:pPr>
        <w:rPr>
          <w:b/>
        </w:rPr>
      </w:pPr>
      <w:r w:rsidRPr="002B0AF6">
        <w:rPr>
          <w:b/>
        </w:rPr>
        <w:lastRenderedPageBreak/>
        <w:t>2.3 The Present Value Model under Uncertainty</w:t>
      </w:r>
    </w:p>
    <w:p w14:paraId="7A2DD522" w14:textId="77777777" w:rsidR="002D4AEC" w:rsidRDefault="00BE721C" w:rsidP="00BE721C">
      <w:pPr>
        <w:pStyle w:val="ListParagraph"/>
        <w:numPr>
          <w:ilvl w:val="0"/>
          <w:numId w:val="5"/>
        </w:numPr>
      </w:pPr>
      <w:r>
        <w:t>States of Nature– Good state (positive future economic prospect/Economy is good) or Bad state (negative future economic prospect/Economy is bad)</w:t>
      </w:r>
    </w:p>
    <w:p w14:paraId="4B5681CC" w14:textId="77777777" w:rsidR="00BE721C" w:rsidRDefault="00BE721C" w:rsidP="00BE721C">
      <w:pPr>
        <w:pStyle w:val="ListParagraph"/>
        <w:numPr>
          <w:ilvl w:val="0"/>
          <w:numId w:val="5"/>
        </w:numPr>
      </w:pPr>
      <w:r>
        <w:t>State probabilities are independent – the state in one year does not affect the state in the next year</w:t>
      </w:r>
    </w:p>
    <w:p w14:paraId="50BE401B" w14:textId="77777777" w:rsidR="00BE721C" w:rsidRDefault="00BE721C" w:rsidP="00BE721C">
      <w:pPr>
        <w:pStyle w:val="ListParagraph"/>
        <w:numPr>
          <w:ilvl w:val="0"/>
          <w:numId w:val="5"/>
        </w:numPr>
      </w:pPr>
      <w:r>
        <w:t>States of nature model uncertain events whose realizations affect the cash flows of the firm</w:t>
      </w:r>
    </w:p>
    <w:p w14:paraId="2DAE3336" w14:textId="77777777" w:rsidR="00BE721C" w:rsidRDefault="00BE721C" w:rsidP="00BE721C">
      <w:pPr>
        <w:pStyle w:val="ListParagraph"/>
        <w:numPr>
          <w:ilvl w:val="0"/>
          <w:numId w:val="5"/>
        </w:numPr>
      </w:pPr>
      <w:r>
        <w:t>Assumptions – Ideal Conditions under Uncertainty:</w:t>
      </w:r>
    </w:p>
    <w:p w14:paraId="0EEF6B92" w14:textId="77777777" w:rsidR="00BE721C" w:rsidRDefault="00BE721C" w:rsidP="00BE721C">
      <w:pPr>
        <w:pStyle w:val="ListParagraph"/>
        <w:numPr>
          <w:ilvl w:val="1"/>
          <w:numId w:val="5"/>
        </w:numPr>
      </w:pPr>
      <w:r>
        <w:t>1. The set of possible states are publically known and complete</w:t>
      </w:r>
    </w:p>
    <w:p w14:paraId="11FE886C" w14:textId="77777777" w:rsidR="00BE721C" w:rsidRDefault="00BE721C" w:rsidP="00BE721C">
      <w:pPr>
        <w:pStyle w:val="ListParagraph"/>
        <w:numPr>
          <w:ilvl w:val="2"/>
          <w:numId w:val="5"/>
        </w:numPr>
      </w:pPr>
      <w:r>
        <w:t>No one knows for sure which state will occur, but it is known that one state must be realized</w:t>
      </w:r>
    </w:p>
    <w:p w14:paraId="6CC45C8A" w14:textId="77777777" w:rsidR="00BE721C" w:rsidRDefault="00BE721C" w:rsidP="00BE721C">
      <w:pPr>
        <w:pStyle w:val="ListParagraph"/>
        <w:numPr>
          <w:ilvl w:val="1"/>
          <w:numId w:val="5"/>
        </w:numPr>
      </w:pPr>
      <w:r>
        <w:t>2. State realization is publically observable</w:t>
      </w:r>
    </w:p>
    <w:p w14:paraId="441F1B02" w14:textId="77777777" w:rsidR="00BE721C" w:rsidRDefault="00BE721C" w:rsidP="00BE721C">
      <w:pPr>
        <w:pStyle w:val="ListParagraph"/>
        <w:numPr>
          <w:ilvl w:val="2"/>
          <w:numId w:val="5"/>
        </w:numPr>
      </w:pPr>
      <w:r>
        <w:t>Everyone will know what state actually happens</w:t>
      </w:r>
    </w:p>
    <w:p w14:paraId="785C05BF" w14:textId="77777777" w:rsidR="00BE721C" w:rsidRDefault="00BE721C" w:rsidP="00BE721C">
      <w:pPr>
        <w:pStyle w:val="ListParagraph"/>
        <w:numPr>
          <w:ilvl w:val="1"/>
          <w:numId w:val="5"/>
        </w:numPr>
      </w:pPr>
      <w:r>
        <w:t>3. State probabilities are objective and publically known</w:t>
      </w:r>
    </w:p>
    <w:p w14:paraId="7D557169" w14:textId="77777777" w:rsidR="00BE721C" w:rsidRDefault="00BE721C" w:rsidP="00BE721C">
      <w:pPr>
        <w:pStyle w:val="ListParagraph"/>
        <w:numPr>
          <w:ilvl w:val="2"/>
          <w:numId w:val="5"/>
        </w:numPr>
      </w:pPr>
      <w:proofErr w:type="gramStart"/>
      <w:r>
        <w:t>i</w:t>
      </w:r>
      <w:proofErr w:type="gramEnd"/>
      <w:r>
        <w:t>.e. bad state and good state will occur with a relative frequency of 0.5</w:t>
      </w:r>
    </w:p>
    <w:p w14:paraId="51ECC141" w14:textId="77777777" w:rsidR="00BE721C" w:rsidRDefault="00BE721C" w:rsidP="00BE721C">
      <w:pPr>
        <w:pStyle w:val="ListParagraph"/>
        <w:numPr>
          <w:ilvl w:val="1"/>
          <w:numId w:val="5"/>
        </w:numPr>
      </w:pPr>
      <w:r>
        <w:t>4.  Given, fixed interest rate at which the firm’s future cash flows are discounted</w:t>
      </w:r>
    </w:p>
    <w:p w14:paraId="02BEBB0D" w14:textId="77777777" w:rsidR="00BE721C" w:rsidRPr="00BE721C" w:rsidRDefault="00BE721C" w:rsidP="00BE721C">
      <w:pPr>
        <w:pStyle w:val="ListParagraph"/>
        <w:numPr>
          <w:ilvl w:val="0"/>
          <w:numId w:val="5"/>
        </w:numPr>
        <w:rPr>
          <w:b/>
          <w:u w:val="single"/>
        </w:rPr>
      </w:pPr>
      <w:r>
        <w:t xml:space="preserve">Under Ideal Conditions under Uncertainty we calculate </w:t>
      </w:r>
      <w:r w:rsidRPr="00BE721C">
        <w:rPr>
          <w:b/>
          <w:u w:val="single"/>
        </w:rPr>
        <w:t>expected present value</w:t>
      </w:r>
    </w:p>
    <w:p w14:paraId="6A1A8C6E" w14:textId="77777777" w:rsidR="00BE721C" w:rsidRDefault="008E198B" w:rsidP="00BE721C">
      <w:pPr>
        <w:pStyle w:val="ListParagraph"/>
        <w:numPr>
          <w:ilvl w:val="0"/>
          <w:numId w:val="5"/>
        </w:numPr>
      </w:pPr>
      <w:r>
        <w:t>If we assume investors are RISK NEUTRAL, then the present value of assets on the balance sheet would equal their market value</w:t>
      </w:r>
    </w:p>
    <w:p w14:paraId="178A4656" w14:textId="77777777" w:rsidR="008E198B" w:rsidRDefault="008E198B" w:rsidP="008E198B">
      <w:pPr>
        <w:pStyle w:val="ListParagraph"/>
        <w:numPr>
          <w:ilvl w:val="1"/>
          <w:numId w:val="5"/>
        </w:numPr>
      </w:pPr>
      <w:r>
        <w:t>If however we assumed that investors were RISK AVERSE, then the present value would not equal the market value</w:t>
      </w:r>
    </w:p>
    <w:p w14:paraId="2EB90AB7" w14:textId="77777777" w:rsidR="008E198B" w:rsidRDefault="008E198B" w:rsidP="008E198B">
      <w:pPr>
        <w:pStyle w:val="ListParagraph"/>
        <w:numPr>
          <w:ilvl w:val="1"/>
          <w:numId w:val="5"/>
        </w:numPr>
      </w:pPr>
      <w:r>
        <w:t>The market value would be less because depending on the expected state of nature to occur in the next year, investors would value the firm at either more or less relative to the PV</w:t>
      </w:r>
    </w:p>
    <w:p w14:paraId="0BDCCE2C" w14:textId="77777777" w:rsidR="008E198B" w:rsidRDefault="008E198B" w:rsidP="008E198B">
      <w:pPr>
        <w:pStyle w:val="ListParagraph"/>
        <w:numPr>
          <w:ilvl w:val="0"/>
          <w:numId w:val="5"/>
        </w:numPr>
      </w:pPr>
      <w:r>
        <w:t xml:space="preserve">Expected net income and realized net income are </w:t>
      </w:r>
      <w:r w:rsidRPr="008E198B">
        <w:rPr>
          <w:b/>
        </w:rPr>
        <w:t>not</w:t>
      </w:r>
      <w:r>
        <w:t xml:space="preserve"> the same under uncertainty</w:t>
      </w:r>
    </w:p>
    <w:p w14:paraId="30DE3099" w14:textId="77777777" w:rsidR="008E198B" w:rsidRDefault="008E198B" w:rsidP="008E198B">
      <w:pPr>
        <w:pStyle w:val="ListParagraph"/>
        <w:numPr>
          <w:ilvl w:val="1"/>
          <w:numId w:val="5"/>
        </w:numPr>
      </w:pPr>
      <w:r>
        <w:t>Expected net income is the probability of cash flows considering either good or bad state</w:t>
      </w:r>
    </w:p>
    <w:p w14:paraId="56FB236A" w14:textId="77777777" w:rsidR="008E198B" w:rsidRDefault="008E198B" w:rsidP="008E198B">
      <w:pPr>
        <w:pStyle w:val="ListParagraph"/>
        <w:numPr>
          <w:ilvl w:val="1"/>
          <w:numId w:val="5"/>
        </w:numPr>
      </w:pPr>
      <w:r>
        <w:t>Realized net income is cash flow when the good or bad state is known</w:t>
      </w:r>
    </w:p>
    <w:p w14:paraId="7B8A7E6F" w14:textId="77777777" w:rsidR="008E198B" w:rsidRDefault="008E198B" w:rsidP="008E198B">
      <w:pPr>
        <w:pStyle w:val="ListParagraph"/>
        <w:numPr>
          <w:ilvl w:val="1"/>
          <w:numId w:val="5"/>
        </w:numPr>
      </w:pPr>
      <w:r>
        <w:t>Abnormal earnings is the difference between expected net income and realized net income</w:t>
      </w:r>
    </w:p>
    <w:p w14:paraId="0B215BDE" w14:textId="77777777" w:rsidR="008E198B" w:rsidRDefault="008E198B" w:rsidP="008E198B">
      <w:pPr>
        <w:pStyle w:val="ListParagraph"/>
        <w:numPr>
          <w:ilvl w:val="1"/>
          <w:numId w:val="5"/>
        </w:numPr>
      </w:pPr>
      <w:r>
        <w:t>Therefore, under uncertainty, net income = expected net income +/- abnormal earnings</w:t>
      </w:r>
    </w:p>
    <w:p w14:paraId="19CE0AB9" w14:textId="77777777" w:rsidR="008E198B" w:rsidRPr="005F48C9" w:rsidRDefault="005F48C9" w:rsidP="008E198B">
      <w:pPr>
        <w:pStyle w:val="ListParagraph"/>
        <w:numPr>
          <w:ilvl w:val="0"/>
          <w:numId w:val="5"/>
        </w:numPr>
      </w:pPr>
      <w:r>
        <w:t xml:space="preserve">Under Ideal Conditions of uncertainty, financial statement information is both completely </w:t>
      </w:r>
      <w:r w:rsidRPr="005F48C9">
        <w:rPr>
          <w:b/>
        </w:rPr>
        <w:t>relevant</w:t>
      </w:r>
      <w:r>
        <w:t xml:space="preserve"> and completely </w:t>
      </w:r>
      <w:r w:rsidRPr="005F48C9">
        <w:rPr>
          <w:b/>
        </w:rPr>
        <w:t>reliable</w:t>
      </w:r>
    </w:p>
    <w:p w14:paraId="107E2218" w14:textId="77777777" w:rsidR="005F48C9" w:rsidRDefault="005F48C9" w:rsidP="005F48C9">
      <w:pPr>
        <w:pStyle w:val="ListParagraph"/>
        <w:numPr>
          <w:ilvl w:val="1"/>
          <w:numId w:val="5"/>
        </w:numPr>
      </w:pPr>
      <w:r>
        <w:t>Relevance holds because balance sheet values are based on expected future cash flows, and dividend irrelevancy holds</w:t>
      </w:r>
    </w:p>
    <w:p w14:paraId="51EE9FC0" w14:textId="77777777" w:rsidR="005F48C9" w:rsidRDefault="005F48C9" w:rsidP="005F48C9">
      <w:pPr>
        <w:pStyle w:val="ListParagraph"/>
        <w:numPr>
          <w:ilvl w:val="1"/>
          <w:numId w:val="5"/>
        </w:numPr>
      </w:pPr>
      <w:r>
        <w:t>Reliability holds because ideal conditions ensure that PV calculations faithfully represent the firm’s expected future cash flows</w:t>
      </w:r>
    </w:p>
    <w:p w14:paraId="4A7368F5" w14:textId="77777777" w:rsidR="00E80BE1" w:rsidRDefault="00E80BE1" w:rsidP="00E80BE1">
      <w:pPr>
        <w:pStyle w:val="ListParagraph"/>
        <w:numPr>
          <w:ilvl w:val="0"/>
          <w:numId w:val="5"/>
        </w:numPr>
      </w:pPr>
      <w:r>
        <w:t>The income statement still provides no new information to investors because as long as they observe the state of nature that has occurred, they have enough information (interest rate and opening balance) to calculate realized net income</w:t>
      </w:r>
    </w:p>
    <w:p w14:paraId="488E6189" w14:textId="77777777" w:rsidR="00E80BE1" w:rsidRDefault="00E80BE1" w:rsidP="00E80BE1">
      <w:pPr>
        <w:pStyle w:val="ListParagraph"/>
        <w:numPr>
          <w:ilvl w:val="0"/>
          <w:numId w:val="5"/>
        </w:numPr>
      </w:pPr>
      <w:r>
        <w:t>The only time the income statement is useful is when state probabilities are subjective</w:t>
      </w:r>
    </w:p>
    <w:p w14:paraId="19409924" w14:textId="77777777" w:rsidR="00E80BE1" w:rsidRDefault="00E80BE1" w:rsidP="002B0AF6">
      <w:pPr>
        <w:pStyle w:val="ListParagraph"/>
        <w:numPr>
          <w:ilvl w:val="1"/>
          <w:numId w:val="5"/>
        </w:numPr>
      </w:pPr>
      <w:r>
        <w:t>This is because the income statement will provide investors with improved knowledge of the true state of the firm through indications from past or current performance to help predict future performance</w:t>
      </w:r>
    </w:p>
    <w:p w14:paraId="5E3FC1C8" w14:textId="77777777" w:rsidR="001B3B67" w:rsidRDefault="001B3B67" w:rsidP="001B3B67">
      <w:pPr>
        <w:pStyle w:val="ListParagraph"/>
        <w:ind w:left="1080"/>
      </w:pPr>
    </w:p>
    <w:tbl>
      <w:tblPr>
        <w:tblStyle w:val="TableGrid"/>
        <w:tblW w:w="0" w:type="auto"/>
        <w:tblLook w:val="04A0" w:firstRow="1" w:lastRow="0" w:firstColumn="1" w:lastColumn="0" w:noHBand="0" w:noVBand="1"/>
      </w:tblPr>
      <w:tblGrid>
        <w:gridCol w:w="3192"/>
        <w:gridCol w:w="3192"/>
        <w:gridCol w:w="3192"/>
      </w:tblGrid>
      <w:tr w:rsidR="00E80BE1" w14:paraId="77884741" w14:textId="77777777" w:rsidTr="007A6E5E">
        <w:tc>
          <w:tcPr>
            <w:tcW w:w="3192" w:type="dxa"/>
          </w:tcPr>
          <w:p w14:paraId="4EFA0F57" w14:textId="77777777" w:rsidR="00E80BE1" w:rsidRDefault="00E80BE1" w:rsidP="007A6E5E">
            <w:pPr>
              <w:tabs>
                <w:tab w:val="left" w:pos="2205"/>
              </w:tabs>
            </w:pPr>
            <w:r>
              <w:lastRenderedPageBreak/>
              <w:tab/>
            </w:r>
          </w:p>
        </w:tc>
        <w:tc>
          <w:tcPr>
            <w:tcW w:w="3192" w:type="dxa"/>
          </w:tcPr>
          <w:p w14:paraId="6A2B55D8" w14:textId="77777777" w:rsidR="00E80BE1" w:rsidRDefault="00E80BE1" w:rsidP="007A6E5E">
            <w:r>
              <w:t xml:space="preserve">Ideal Conditions - </w:t>
            </w:r>
            <w:r w:rsidRPr="008725EE">
              <w:rPr>
                <w:b/>
              </w:rPr>
              <w:t>CERTAINTY</w:t>
            </w:r>
          </w:p>
        </w:tc>
        <w:tc>
          <w:tcPr>
            <w:tcW w:w="3192" w:type="dxa"/>
          </w:tcPr>
          <w:p w14:paraId="1B892620" w14:textId="77777777" w:rsidR="00E80BE1" w:rsidRDefault="00E80BE1" w:rsidP="007A6E5E">
            <w:r>
              <w:t xml:space="preserve">Ideal Conditions - </w:t>
            </w:r>
            <w:r w:rsidRPr="008725EE">
              <w:rPr>
                <w:b/>
              </w:rPr>
              <w:t>UNCERTAINTY</w:t>
            </w:r>
          </w:p>
        </w:tc>
      </w:tr>
      <w:tr w:rsidR="00E80BE1" w14:paraId="7E69406C" w14:textId="77777777" w:rsidTr="007A6E5E">
        <w:tc>
          <w:tcPr>
            <w:tcW w:w="3192" w:type="dxa"/>
          </w:tcPr>
          <w:p w14:paraId="42227A34" w14:textId="77777777" w:rsidR="00E80BE1" w:rsidRDefault="00E80BE1" w:rsidP="007A6E5E">
            <w:pPr>
              <w:rPr>
                <w:b/>
              </w:rPr>
            </w:pPr>
          </w:p>
          <w:p w14:paraId="3FB704D1" w14:textId="77777777" w:rsidR="00E80BE1" w:rsidRPr="00E80BE1" w:rsidRDefault="00E80BE1" w:rsidP="007A6E5E">
            <w:pPr>
              <w:rPr>
                <w:b/>
              </w:rPr>
            </w:pPr>
            <w:r w:rsidRPr="00E80BE1">
              <w:rPr>
                <w:b/>
              </w:rPr>
              <w:t>Relevance</w:t>
            </w:r>
          </w:p>
        </w:tc>
        <w:tc>
          <w:tcPr>
            <w:tcW w:w="3192" w:type="dxa"/>
          </w:tcPr>
          <w:p w14:paraId="6B409D4A" w14:textId="77777777" w:rsidR="00E80BE1" w:rsidRDefault="00E80BE1" w:rsidP="007A6E5E">
            <w:r>
              <w:t>1. Future cash flows known with certainty (fixed interest rate)</w:t>
            </w:r>
          </w:p>
          <w:p w14:paraId="28DF1825" w14:textId="77777777" w:rsidR="00E80BE1" w:rsidRDefault="00E80BE1" w:rsidP="007A6E5E">
            <w:r>
              <w:t>2. Dividend Irrelevancy</w:t>
            </w:r>
          </w:p>
        </w:tc>
        <w:tc>
          <w:tcPr>
            <w:tcW w:w="3192" w:type="dxa"/>
          </w:tcPr>
          <w:p w14:paraId="11AE0B73" w14:textId="77777777" w:rsidR="00E80BE1" w:rsidRDefault="00E80BE1" w:rsidP="007A6E5E">
            <w:r>
              <w:t>1. Future cash flows known with certainty (fixed interest rate)</w:t>
            </w:r>
          </w:p>
          <w:p w14:paraId="5CFA039B" w14:textId="77777777" w:rsidR="00E80BE1" w:rsidRDefault="00E80BE1" w:rsidP="007A6E5E">
            <w:r>
              <w:t>2. Dividend Irrelevancy</w:t>
            </w:r>
          </w:p>
        </w:tc>
      </w:tr>
      <w:tr w:rsidR="00E80BE1" w14:paraId="7247B4A1" w14:textId="77777777" w:rsidTr="007A6E5E">
        <w:tc>
          <w:tcPr>
            <w:tcW w:w="3192" w:type="dxa"/>
          </w:tcPr>
          <w:p w14:paraId="26D97DC0" w14:textId="77777777" w:rsidR="00E80BE1" w:rsidRDefault="00E80BE1" w:rsidP="007A6E5E">
            <w:pPr>
              <w:rPr>
                <w:b/>
              </w:rPr>
            </w:pPr>
          </w:p>
          <w:p w14:paraId="00B9F4D0" w14:textId="77777777" w:rsidR="00E80BE1" w:rsidRPr="00E80BE1" w:rsidRDefault="00E80BE1" w:rsidP="007A6E5E">
            <w:pPr>
              <w:rPr>
                <w:b/>
              </w:rPr>
            </w:pPr>
            <w:r w:rsidRPr="00E80BE1">
              <w:rPr>
                <w:b/>
              </w:rPr>
              <w:t>Reliability</w:t>
            </w:r>
          </w:p>
        </w:tc>
        <w:tc>
          <w:tcPr>
            <w:tcW w:w="3192" w:type="dxa"/>
          </w:tcPr>
          <w:p w14:paraId="78F17CAB" w14:textId="77777777" w:rsidR="00E80BE1" w:rsidRDefault="00E80BE1" w:rsidP="007A6E5E">
            <w:r>
              <w:t>With known future cash flows, present value calculations faithfully represent the firm’s expected future cash flows</w:t>
            </w:r>
          </w:p>
        </w:tc>
        <w:tc>
          <w:tcPr>
            <w:tcW w:w="3192" w:type="dxa"/>
          </w:tcPr>
          <w:p w14:paraId="6348934C" w14:textId="77777777" w:rsidR="00E80BE1" w:rsidRDefault="00E80BE1" w:rsidP="007A6E5E">
            <w:r>
              <w:t>With known future cash flows, present value calculations faithfully represent the firm’s expected future cash flows</w:t>
            </w:r>
          </w:p>
        </w:tc>
      </w:tr>
      <w:tr w:rsidR="00E80BE1" w14:paraId="5C847B68" w14:textId="77777777" w:rsidTr="007A6E5E">
        <w:tc>
          <w:tcPr>
            <w:tcW w:w="3192" w:type="dxa"/>
          </w:tcPr>
          <w:p w14:paraId="43E98584" w14:textId="77777777" w:rsidR="00E80BE1" w:rsidRDefault="00E80BE1" w:rsidP="007A6E5E">
            <w:pPr>
              <w:rPr>
                <w:b/>
              </w:rPr>
            </w:pPr>
          </w:p>
          <w:p w14:paraId="70B3EAB2" w14:textId="77777777" w:rsidR="00E80BE1" w:rsidRPr="00E80BE1" w:rsidRDefault="00E80BE1" w:rsidP="007A6E5E">
            <w:pPr>
              <w:rPr>
                <w:b/>
              </w:rPr>
            </w:pPr>
            <w:r w:rsidRPr="00E80BE1">
              <w:rPr>
                <w:b/>
              </w:rPr>
              <w:t>Volatility</w:t>
            </w:r>
          </w:p>
        </w:tc>
        <w:tc>
          <w:tcPr>
            <w:tcW w:w="3192" w:type="dxa"/>
          </w:tcPr>
          <w:p w14:paraId="413FB563" w14:textId="77777777" w:rsidR="00E80BE1" w:rsidRDefault="00E80BE1" w:rsidP="007A6E5E">
            <w:r>
              <w:t>None. State of nature known.</w:t>
            </w:r>
          </w:p>
        </w:tc>
        <w:tc>
          <w:tcPr>
            <w:tcW w:w="3192" w:type="dxa"/>
          </w:tcPr>
          <w:p w14:paraId="441E6138" w14:textId="77777777" w:rsidR="00E80BE1" w:rsidRDefault="00E80BE1" w:rsidP="007A6E5E">
            <w:r>
              <w:t>Net income and balance sheet values depend on which state is realized – Abnormal Earnings</w:t>
            </w:r>
          </w:p>
        </w:tc>
      </w:tr>
      <w:tr w:rsidR="00E80BE1" w14:paraId="6F4F4F2C" w14:textId="77777777" w:rsidTr="007A6E5E">
        <w:tc>
          <w:tcPr>
            <w:tcW w:w="3192" w:type="dxa"/>
          </w:tcPr>
          <w:p w14:paraId="617F2B5B" w14:textId="77777777" w:rsidR="00E80BE1" w:rsidRPr="00E80BE1" w:rsidRDefault="00E80BE1" w:rsidP="007A6E5E">
            <w:pPr>
              <w:rPr>
                <w:b/>
              </w:rPr>
            </w:pPr>
            <w:r w:rsidRPr="00E80BE1">
              <w:rPr>
                <w:b/>
              </w:rPr>
              <w:t>PV of asset/liability = market value?</w:t>
            </w:r>
          </w:p>
        </w:tc>
        <w:tc>
          <w:tcPr>
            <w:tcW w:w="3192" w:type="dxa"/>
          </w:tcPr>
          <w:p w14:paraId="66AF3572" w14:textId="77777777" w:rsidR="00E80BE1" w:rsidRDefault="00E80BE1" w:rsidP="007A6E5E">
            <w:r>
              <w:t>Yes</w:t>
            </w:r>
          </w:p>
        </w:tc>
        <w:tc>
          <w:tcPr>
            <w:tcW w:w="3192" w:type="dxa"/>
          </w:tcPr>
          <w:p w14:paraId="6AA24C20" w14:textId="77777777" w:rsidR="00E80BE1" w:rsidRDefault="00E80BE1" w:rsidP="007A6E5E">
            <w:r>
              <w:t>Yes, IF we assume risk neutral investor</w:t>
            </w:r>
          </w:p>
        </w:tc>
      </w:tr>
      <w:tr w:rsidR="00E80BE1" w14:paraId="21000045" w14:textId="77777777" w:rsidTr="007A6E5E">
        <w:tc>
          <w:tcPr>
            <w:tcW w:w="3192" w:type="dxa"/>
          </w:tcPr>
          <w:p w14:paraId="509D4C3C" w14:textId="77777777" w:rsidR="00E80BE1" w:rsidRPr="00E80BE1" w:rsidRDefault="00E80BE1" w:rsidP="007A6E5E">
            <w:pPr>
              <w:rPr>
                <w:b/>
              </w:rPr>
            </w:pPr>
            <w:r w:rsidRPr="00E80BE1">
              <w:rPr>
                <w:b/>
              </w:rPr>
              <w:t>Expected net income = realized net income?</w:t>
            </w:r>
          </w:p>
        </w:tc>
        <w:tc>
          <w:tcPr>
            <w:tcW w:w="3192" w:type="dxa"/>
          </w:tcPr>
          <w:p w14:paraId="3D828060" w14:textId="77777777" w:rsidR="00E80BE1" w:rsidRDefault="00E80BE1" w:rsidP="007A6E5E">
            <w:r>
              <w:t>Yes</w:t>
            </w:r>
          </w:p>
        </w:tc>
        <w:tc>
          <w:tcPr>
            <w:tcW w:w="3192" w:type="dxa"/>
          </w:tcPr>
          <w:p w14:paraId="5283AFE7" w14:textId="77777777" w:rsidR="00E80BE1" w:rsidRDefault="00E80BE1" w:rsidP="007A6E5E">
            <w:r>
              <w:t>No. The difference between expected NI and realized NI = abnormal earnings</w:t>
            </w:r>
          </w:p>
        </w:tc>
      </w:tr>
      <w:tr w:rsidR="00E80BE1" w14:paraId="4D029F91" w14:textId="77777777" w:rsidTr="007A6E5E">
        <w:tc>
          <w:tcPr>
            <w:tcW w:w="3192" w:type="dxa"/>
          </w:tcPr>
          <w:p w14:paraId="18171842" w14:textId="77777777" w:rsidR="00E80BE1" w:rsidRDefault="00E80BE1" w:rsidP="007A6E5E">
            <w:pPr>
              <w:rPr>
                <w:b/>
              </w:rPr>
            </w:pPr>
          </w:p>
          <w:p w14:paraId="490A5080" w14:textId="77777777" w:rsidR="00E80BE1" w:rsidRDefault="00E80BE1" w:rsidP="007A6E5E">
            <w:pPr>
              <w:rPr>
                <w:b/>
              </w:rPr>
            </w:pPr>
          </w:p>
          <w:p w14:paraId="2BBF2501" w14:textId="77777777" w:rsidR="00E80BE1" w:rsidRPr="00E80BE1" w:rsidRDefault="00E80BE1" w:rsidP="007A6E5E">
            <w:pPr>
              <w:rPr>
                <w:b/>
              </w:rPr>
            </w:pPr>
            <w:r w:rsidRPr="00E80BE1">
              <w:rPr>
                <w:b/>
              </w:rPr>
              <w:t>Net income important?</w:t>
            </w:r>
          </w:p>
        </w:tc>
        <w:tc>
          <w:tcPr>
            <w:tcW w:w="3192" w:type="dxa"/>
          </w:tcPr>
          <w:p w14:paraId="5EFB5D6B" w14:textId="77777777" w:rsidR="00E80BE1" w:rsidRDefault="00E80BE1" w:rsidP="007A6E5E">
            <w:r>
              <w:t>No because investors have sufficient information to calculate what realized net income will be from the interest rate and opening balance on b/s</w:t>
            </w:r>
          </w:p>
        </w:tc>
        <w:tc>
          <w:tcPr>
            <w:tcW w:w="3192" w:type="dxa"/>
          </w:tcPr>
          <w:p w14:paraId="6C3BCBB4" w14:textId="77777777" w:rsidR="00E80BE1" w:rsidRDefault="00E80BE1" w:rsidP="007A6E5E">
            <w:r>
              <w:t>No because once investors know the state of nature they can easily calculate net income (i.e. net income is predictable conditional on the state of nature)</w:t>
            </w:r>
          </w:p>
        </w:tc>
      </w:tr>
    </w:tbl>
    <w:p w14:paraId="78B05C28" w14:textId="77777777" w:rsidR="00E80BE1" w:rsidRDefault="00E80BE1" w:rsidP="00E80BE1">
      <w:pPr>
        <w:ind w:left="720"/>
      </w:pPr>
    </w:p>
    <w:p w14:paraId="20CC6C9C" w14:textId="77777777" w:rsidR="00453C3E" w:rsidRPr="002B0AF6" w:rsidRDefault="008725EE" w:rsidP="008725EE">
      <w:pPr>
        <w:rPr>
          <w:b/>
        </w:rPr>
      </w:pPr>
      <w:r w:rsidRPr="002B0AF6">
        <w:rPr>
          <w:b/>
        </w:rPr>
        <w:t>2.4 Reserve Recognition Accounting (RRA)</w:t>
      </w:r>
    </w:p>
    <w:p w14:paraId="5D6F5CBC" w14:textId="77777777" w:rsidR="008725EE" w:rsidRDefault="008725EE" w:rsidP="008725EE">
      <w:pPr>
        <w:pStyle w:val="ListParagraph"/>
        <w:numPr>
          <w:ilvl w:val="0"/>
          <w:numId w:val="6"/>
        </w:numPr>
      </w:pPr>
      <w:r>
        <w:t>PV accounting applied to oil and gas reserves is known as reserve recognition accounting (RRA)</w:t>
      </w:r>
    </w:p>
    <w:p w14:paraId="14457DC1" w14:textId="77777777" w:rsidR="00AB6A40" w:rsidRDefault="00AB6A40" w:rsidP="008725EE">
      <w:pPr>
        <w:pStyle w:val="ListParagraph"/>
        <w:numPr>
          <w:ilvl w:val="0"/>
          <w:numId w:val="6"/>
        </w:numPr>
      </w:pPr>
      <w:r>
        <w:t>Under RRA, oil and gas assets are valued at expected present value (i.e. value-in-use), not at historical cost</w:t>
      </w:r>
    </w:p>
    <w:p w14:paraId="48F60657" w14:textId="77777777" w:rsidR="008725EE" w:rsidRDefault="008725EE" w:rsidP="008725EE">
      <w:pPr>
        <w:pStyle w:val="ListParagraph"/>
        <w:numPr>
          <w:ilvl w:val="0"/>
          <w:numId w:val="6"/>
        </w:numPr>
      </w:pPr>
      <w:r>
        <w:t>PV model encounters serious reliability problems when we try to apply it without ideal conditions</w:t>
      </w:r>
    </w:p>
    <w:p w14:paraId="215E1E69" w14:textId="77777777" w:rsidR="008725EE" w:rsidRDefault="008725EE" w:rsidP="008725EE">
      <w:pPr>
        <w:pStyle w:val="ListParagraph"/>
        <w:numPr>
          <w:ilvl w:val="0"/>
          <w:numId w:val="6"/>
        </w:numPr>
      </w:pPr>
      <w:r>
        <w:t>SFAS 69: disclosure of the estimated PV of future receipts from a company’s proved oil and gas reserves is required</w:t>
      </w:r>
    </w:p>
    <w:p w14:paraId="32C15DB7" w14:textId="77777777" w:rsidR="008725EE" w:rsidRDefault="008725EE" w:rsidP="008725EE">
      <w:pPr>
        <w:pStyle w:val="ListParagraph"/>
        <w:numPr>
          <w:ilvl w:val="1"/>
          <w:numId w:val="6"/>
        </w:numPr>
      </w:pPr>
      <w:r>
        <w:t>Known as the standardized measure</w:t>
      </w:r>
    </w:p>
    <w:p w14:paraId="3F34F877" w14:textId="77777777" w:rsidR="008725EE" w:rsidRDefault="008725EE" w:rsidP="008725EE">
      <w:pPr>
        <w:pStyle w:val="ListParagraph"/>
        <w:numPr>
          <w:ilvl w:val="1"/>
          <w:numId w:val="6"/>
        </w:numPr>
      </w:pPr>
      <w:r>
        <w:t xml:space="preserve">This is required because using historical cost </w:t>
      </w:r>
      <w:proofErr w:type="gramStart"/>
      <w:r>
        <w:t>to  value</w:t>
      </w:r>
      <w:proofErr w:type="gramEnd"/>
      <w:r>
        <w:t xml:space="preserve"> oil and gas properties may bear little relationship to their actual value – therefore this requirement was intended to provide more relevant information to investors</w:t>
      </w:r>
    </w:p>
    <w:p w14:paraId="6E2CD5E7" w14:textId="77777777" w:rsidR="00F54169" w:rsidRDefault="00F54169" w:rsidP="008725EE">
      <w:pPr>
        <w:pStyle w:val="ListParagraph"/>
        <w:numPr>
          <w:ilvl w:val="1"/>
          <w:numId w:val="6"/>
        </w:numPr>
      </w:pPr>
      <w:r>
        <w:t>SFAS 69 has a mandated rate of 10% to discount proved reserves for comparability across firms</w:t>
      </w:r>
    </w:p>
    <w:p w14:paraId="4916F59B" w14:textId="77777777" w:rsidR="00F54169" w:rsidRDefault="00F54169" w:rsidP="00F54169">
      <w:pPr>
        <w:pStyle w:val="ListParagraph"/>
        <w:numPr>
          <w:ilvl w:val="0"/>
          <w:numId w:val="6"/>
        </w:numPr>
      </w:pPr>
      <w:r w:rsidRPr="00AB6A40">
        <w:rPr>
          <w:b/>
        </w:rPr>
        <w:t>Reliability</w:t>
      </w:r>
      <w:r>
        <w:t xml:space="preserve"> of RRA:</w:t>
      </w:r>
    </w:p>
    <w:p w14:paraId="10D90A5C" w14:textId="77777777" w:rsidR="00F54169" w:rsidRDefault="00F54169" w:rsidP="00F54169">
      <w:pPr>
        <w:pStyle w:val="ListParagraph"/>
        <w:numPr>
          <w:ilvl w:val="1"/>
          <w:numId w:val="6"/>
        </w:numPr>
      </w:pPr>
      <w:r>
        <w:t>Provisions to mitigate reliability concerns:</w:t>
      </w:r>
    </w:p>
    <w:p w14:paraId="716F3719" w14:textId="77777777" w:rsidR="00F54169" w:rsidRDefault="00F54169" w:rsidP="00F54169">
      <w:pPr>
        <w:pStyle w:val="ListParagraph"/>
        <w:numPr>
          <w:ilvl w:val="2"/>
          <w:numId w:val="6"/>
        </w:numPr>
      </w:pPr>
      <w:r>
        <w:t>Only proved reserves are included</w:t>
      </w:r>
    </w:p>
    <w:p w14:paraId="52A1A574" w14:textId="77777777" w:rsidR="00F54169" w:rsidRDefault="00F54169" w:rsidP="00F54169">
      <w:pPr>
        <w:pStyle w:val="ListParagraph"/>
        <w:numPr>
          <w:ilvl w:val="2"/>
          <w:numId w:val="6"/>
        </w:numPr>
      </w:pPr>
      <w:r>
        <w:t>Period-end prices are used rather than expected prices of lifted and sold reserves</w:t>
      </w:r>
    </w:p>
    <w:p w14:paraId="1E553839" w14:textId="77777777" w:rsidR="00F54169" w:rsidRDefault="00F54169" w:rsidP="00F54169">
      <w:pPr>
        <w:pStyle w:val="ListParagraph"/>
        <w:numPr>
          <w:ilvl w:val="2"/>
          <w:numId w:val="6"/>
        </w:numPr>
      </w:pPr>
      <w:r>
        <w:t>The interest rate is specified at 10%</w:t>
      </w:r>
    </w:p>
    <w:p w14:paraId="465A9775" w14:textId="77777777" w:rsidR="00F54169" w:rsidRDefault="00AB6A40" w:rsidP="00F54169">
      <w:pPr>
        <w:pStyle w:val="ListParagraph"/>
        <w:numPr>
          <w:ilvl w:val="1"/>
          <w:numId w:val="6"/>
        </w:numPr>
      </w:pPr>
      <w:r>
        <w:t>Only applies to proved reserves – this means “reasonable certainty” and so could be subject to bias</w:t>
      </w:r>
    </w:p>
    <w:p w14:paraId="1C71388D" w14:textId="77777777" w:rsidR="00AB6A40" w:rsidRDefault="00AB6A40" w:rsidP="00F54169">
      <w:pPr>
        <w:pStyle w:val="ListParagraph"/>
        <w:numPr>
          <w:ilvl w:val="1"/>
          <w:numId w:val="6"/>
        </w:numPr>
      </w:pPr>
      <w:r>
        <w:lastRenderedPageBreak/>
        <w:t>Estimates are subject to error – there are lots of estimate changes</w:t>
      </w:r>
    </w:p>
    <w:p w14:paraId="3E9332EB" w14:textId="77777777" w:rsidR="00AB6A40" w:rsidRDefault="00AB6A40" w:rsidP="00F54169">
      <w:pPr>
        <w:pStyle w:val="ListParagraph"/>
        <w:numPr>
          <w:ilvl w:val="1"/>
          <w:numId w:val="6"/>
        </w:numPr>
      </w:pPr>
      <w:r>
        <w:t>Therefore, the extent to which the PV calculations faithfully represent actual reserves is open to question</w:t>
      </w:r>
    </w:p>
    <w:p w14:paraId="301535F7" w14:textId="77777777" w:rsidR="00F54169" w:rsidRDefault="00AB6A40" w:rsidP="00F54169">
      <w:pPr>
        <w:pStyle w:val="ListParagraph"/>
        <w:numPr>
          <w:ilvl w:val="0"/>
          <w:numId w:val="6"/>
        </w:numPr>
      </w:pPr>
      <w:r w:rsidRPr="002B0AF6">
        <w:rPr>
          <w:b/>
        </w:rPr>
        <w:t>Relevance</w:t>
      </w:r>
      <w:r>
        <w:t xml:space="preserve"> of RRA</w:t>
      </w:r>
      <w:r w:rsidR="00F54169">
        <w:t>:</w:t>
      </w:r>
    </w:p>
    <w:p w14:paraId="38C42158" w14:textId="77777777" w:rsidR="00F54169" w:rsidRDefault="00F54169" w:rsidP="00F54169">
      <w:pPr>
        <w:pStyle w:val="ListParagraph"/>
        <w:numPr>
          <w:ilvl w:val="1"/>
          <w:numId w:val="6"/>
        </w:numPr>
      </w:pPr>
      <w:r>
        <w:t>The reliability provisions reduce relevance</w:t>
      </w:r>
    </w:p>
    <w:p w14:paraId="573FF3ED" w14:textId="77777777" w:rsidR="00F54169" w:rsidRDefault="00F54169" w:rsidP="00F54169">
      <w:pPr>
        <w:pStyle w:val="ListParagraph"/>
        <w:numPr>
          <w:ilvl w:val="1"/>
          <w:numId w:val="6"/>
        </w:numPr>
      </w:pPr>
      <w:r>
        <w:t>Though relevance is increased compared to historical cost of reserves, RRA is not completely relevant</w:t>
      </w:r>
    </w:p>
    <w:p w14:paraId="4B7DA576" w14:textId="77777777" w:rsidR="00F54169" w:rsidRDefault="00AB6A40" w:rsidP="00AB6A40">
      <w:pPr>
        <w:pStyle w:val="ListParagraph"/>
        <w:numPr>
          <w:ilvl w:val="1"/>
          <w:numId w:val="6"/>
        </w:numPr>
      </w:pPr>
      <w:r>
        <w:t>More relevant than historical cost of reserves:</w:t>
      </w:r>
    </w:p>
    <w:p w14:paraId="2E417BF5" w14:textId="77777777" w:rsidR="00AB6A40" w:rsidRDefault="00AB6A40" w:rsidP="00AB6A40">
      <w:pPr>
        <w:pStyle w:val="ListParagraph"/>
        <w:numPr>
          <w:ilvl w:val="2"/>
          <w:numId w:val="6"/>
        </w:numPr>
      </w:pPr>
      <w:r>
        <w:t>Valuation of proved reserves implies revenue recognition as soon as reserves are proved</w:t>
      </w:r>
    </w:p>
    <w:p w14:paraId="213D228C" w14:textId="77777777" w:rsidR="00AB6A40" w:rsidRDefault="00AB6A40" w:rsidP="00AB6A40">
      <w:pPr>
        <w:pStyle w:val="ListParagraph"/>
        <w:numPr>
          <w:ilvl w:val="2"/>
          <w:numId w:val="6"/>
        </w:numPr>
      </w:pPr>
      <w:r>
        <w:t>Gains and losses resulting from changes in estimates are recognized in income sooner than with historical cost accounting</w:t>
      </w:r>
    </w:p>
    <w:p w14:paraId="416325B5" w14:textId="77777777" w:rsidR="002B0AF6" w:rsidRDefault="002B0AF6" w:rsidP="00AB6A40">
      <w:pPr>
        <w:pStyle w:val="ListParagraph"/>
        <w:numPr>
          <w:ilvl w:val="2"/>
          <w:numId w:val="6"/>
        </w:numPr>
      </w:pPr>
      <w:r>
        <w:t>With historical cost, a drop in oil prices would not be recognized when valuing assets. So, the balance sheet would not balance to match the lower income and decrease in shareholder’s equity arising from the change in expected oil prices.</w:t>
      </w:r>
    </w:p>
    <w:p w14:paraId="13AA6A39" w14:textId="77777777" w:rsidR="002B0AF6" w:rsidRDefault="002B0AF6" w:rsidP="001B3B67">
      <w:pPr>
        <w:pStyle w:val="ListParagraph"/>
        <w:numPr>
          <w:ilvl w:val="2"/>
          <w:numId w:val="6"/>
        </w:numPr>
      </w:pPr>
      <w:r>
        <w:t>HOWEVER, under RRA accounting, this change in estimate is realized when reconciling expected net income to realized net income and so the f/s balances to the lower income and shareholder’s equity</w:t>
      </w:r>
    </w:p>
    <w:p w14:paraId="0BB9BB8A" w14:textId="77777777" w:rsidR="002B0AF6" w:rsidRDefault="002B0AF6" w:rsidP="002B0AF6">
      <w:pPr>
        <w:pStyle w:val="ListParagraph"/>
        <w:numPr>
          <w:ilvl w:val="0"/>
          <w:numId w:val="6"/>
        </w:numPr>
      </w:pPr>
      <w:r w:rsidRPr="00E06D85">
        <w:rPr>
          <w:highlight w:val="yellow"/>
        </w:rPr>
        <w:t>So, what is the major problem with RRA?</w:t>
      </w:r>
      <w:r w:rsidR="00E06D85">
        <w:t xml:space="preserve"> – </w:t>
      </w:r>
      <w:proofErr w:type="gramStart"/>
      <w:r w:rsidR="00E06D85">
        <w:t>under</w:t>
      </w:r>
      <w:proofErr w:type="gramEnd"/>
      <w:r w:rsidR="00E06D85">
        <w:t xml:space="preserve"> non-ideal conditions, complete relevance and reliability cannot be attained</w:t>
      </w:r>
    </w:p>
    <w:p w14:paraId="6F5C64C3" w14:textId="77777777" w:rsidR="002B0AF6" w:rsidRDefault="002B0AF6" w:rsidP="002B0AF6">
      <w:pPr>
        <w:pStyle w:val="ListParagraph"/>
        <w:numPr>
          <w:ilvl w:val="1"/>
          <w:numId w:val="6"/>
        </w:numPr>
      </w:pPr>
      <w:r>
        <w:t>Oil and gas companies do not operate under ideal conditions</w:t>
      </w:r>
    </w:p>
    <w:p w14:paraId="46927F8E" w14:textId="77777777" w:rsidR="002B0AF6" w:rsidRDefault="002B0AF6" w:rsidP="002B0AF6">
      <w:pPr>
        <w:pStyle w:val="ListParagraph"/>
        <w:numPr>
          <w:ilvl w:val="2"/>
          <w:numId w:val="6"/>
        </w:numPr>
      </w:pPr>
      <w:r>
        <w:t>1. Interest rates in the economy are not fixed</w:t>
      </w:r>
    </w:p>
    <w:p w14:paraId="7D344805" w14:textId="77777777" w:rsidR="002B0AF6" w:rsidRDefault="002B0AF6" w:rsidP="002B0AF6">
      <w:pPr>
        <w:pStyle w:val="ListParagraph"/>
        <w:numPr>
          <w:ilvl w:val="2"/>
          <w:numId w:val="6"/>
        </w:numPr>
      </w:pPr>
      <w:r>
        <w:t>2. States of nature affecting the amounts, prices, and timing of future production is much more complex than a simple good/bad state of economy</w:t>
      </w:r>
    </w:p>
    <w:p w14:paraId="59BBD510" w14:textId="77777777" w:rsidR="002B0AF6" w:rsidRDefault="002B0AF6" w:rsidP="002B0AF6">
      <w:pPr>
        <w:pStyle w:val="ListParagraph"/>
        <w:numPr>
          <w:ilvl w:val="2"/>
          <w:numId w:val="6"/>
        </w:numPr>
      </w:pPr>
      <w:r>
        <w:t>3. Objective state probabilities of proved reserve amounts are not available</w:t>
      </w:r>
    </w:p>
    <w:p w14:paraId="15E99A5C" w14:textId="77777777" w:rsidR="002B0AF6" w:rsidRDefault="002B0AF6" w:rsidP="002B0AF6">
      <w:pPr>
        <w:pStyle w:val="ListParagraph"/>
        <w:numPr>
          <w:ilvl w:val="3"/>
          <w:numId w:val="6"/>
        </w:numPr>
      </w:pPr>
      <w:r>
        <w:t>Subjective state probabilities and standardized measure is itself subjective</w:t>
      </w:r>
    </w:p>
    <w:p w14:paraId="3DD38334" w14:textId="77777777" w:rsidR="002B0AF6" w:rsidRDefault="002B0AF6" w:rsidP="002B0AF6">
      <w:pPr>
        <w:pStyle w:val="ListParagraph"/>
        <w:numPr>
          <w:ilvl w:val="1"/>
          <w:numId w:val="6"/>
        </w:numPr>
      </w:pPr>
      <w:r>
        <w:t xml:space="preserve">Because of these difficulties in applying ideal conditions, the </w:t>
      </w:r>
      <w:r w:rsidRPr="00E06D85">
        <w:rPr>
          <w:b/>
          <w:u w:val="single"/>
        </w:rPr>
        <w:t>reliability</w:t>
      </w:r>
      <w:r>
        <w:t xml:space="preserve"> of RRA information is compromised</w:t>
      </w:r>
    </w:p>
    <w:p w14:paraId="765D3C2D" w14:textId="77777777" w:rsidR="00E06D85" w:rsidRDefault="00E06D85" w:rsidP="002B0AF6">
      <w:pPr>
        <w:pStyle w:val="ListParagraph"/>
        <w:numPr>
          <w:ilvl w:val="1"/>
          <w:numId w:val="6"/>
        </w:numPr>
      </w:pPr>
      <w:r>
        <w:t>It is very difficult to prepare estimates that are accurate and unaffected by subsequent events</w:t>
      </w:r>
    </w:p>
    <w:p w14:paraId="71DA85D4" w14:textId="77777777" w:rsidR="00E06D85" w:rsidRDefault="00E06D85" w:rsidP="002B0AF6">
      <w:pPr>
        <w:pStyle w:val="ListParagraph"/>
        <w:numPr>
          <w:ilvl w:val="1"/>
          <w:numId w:val="6"/>
        </w:numPr>
        <w:rPr>
          <w:u w:val="single"/>
        </w:rPr>
      </w:pPr>
      <w:r>
        <w:t xml:space="preserve">Estimates are subject to management boas and errors that </w:t>
      </w:r>
      <w:r w:rsidRPr="00E06D85">
        <w:rPr>
          <w:u w:val="single"/>
        </w:rPr>
        <w:t>threaten reliability to the point that the benefit in increased relevance is almost outweighed</w:t>
      </w:r>
    </w:p>
    <w:p w14:paraId="674CFD0A" w14:textId="77777777" w:rsidR="006815F1" w:rsidRPr="00C77D1A" w:rsidRDefault="006815F1" w:rsidP="006815F1">
      <w:pPr>
        <w:rPr>
          <w:b/>
        </w:rPr>
      </w:pPr>
      <w:r w:rsidRPr="00C77D1A">
        <w:rPr>
          <w:b/>
        </w:rPr>
        <w:t>2.5.1 Comparison of Different Measurement Bases</w:t>
      </w:r>
      <w:r w:rsidR="00251004" w:rsidRPr="00C77D1A">
        <w:rPr>
          <w:b/>
        </w:rPr>
        <w:t>: Historical Cost vs. Current Value</w:t>
      </w:r>
    </w:p>
    <w:p w14:paraId="0F945F8C" w14:textId="77777777" w:rsidR="006815F1" w:rsidRPr="00C77D1A" w:rsidRDefault="006815F1" w:rsidP="006815F1">
      <w:pPr>
        <w:pStyle w:val="ListParagraph"/>
        <w:numPr>
          <w:ilvl w:val="0"/>
          <w:numId w:val="7"/>
        </w:numPr>
        <w:rPr>
          <w:u w:val="single"/>
        </w:rPr>
      </w:pPr>
      <w:r w:rsidRPr="00C77D1A">
        <w:rPr>
          <w:u w:val="single"/>
        </w:rPr>
        <w:t>1. Historical Cost Accounting:</w:t>
      </w:r>
    </w:p>
    <w:p w14:paraId="4A223B73" w14:textId="77777777" w:rsidR="006815F1" w:rsidRDefault="006815F1" w:rsidP="006815F1">
      <w:pPr>
        <w:pStyle w:val="ListParagraph"/>
        <w:numPr>
          <w:ilvl w:val="1"/>
          <w:numId w:val="7"/>
        </w:numPr>
      </w:pPr>
      <w:r>
        <w:t>Accountant who prefer this approach argue that past-performance is the best predictor of future performance</w:t>
      </w:r>
    </w:p>
    <w:p w14:paraId="1E4F9075" w14:textId="77777777" w:rsidR="006815F1" w:rsidRDefault="006815F1" w:rsidP="006815F1">
      <w:pPr>
        <w:pStyle w:val="ListParagraph"/>
        <w:numPr>
          <w:ilvl w:val="1"/>
          <w:numId w:val="7"/>
        </w:numPr>
      </w:pPr>
      <w:r>
        <w:t>Critics of this approach argue that history does not repeat itself and that current value of assets/liabilities provide the most useful indication of the firm’s future prospects</w:t>
      </w:r>
    </w:p>
    <w:p w14:paraId="6D659EA2" w14:textId="77777777" w:rsidR="001B3B67" w:rsidRDefault="001B3B67" w:rsidP="001B3B67">
      <w:pPr>
        <w:pStyle w:val="ListParagraph"/>
        <w:ind w:left="360"/>
      </w:pPr>
    </w:p>
    <w:p w14:paraId="6E83ADA7" w14:textId="77777777" w:rsidR="001B3B67" w:rsidRDefault="001B3B67" w:rsidP="001B3B67">
      <w:pPr>
        <w:pStyle w:val="ListParagraph"/>
        <w:ind w:left="360"/>
      </w:pPr>
    </w:p>
    <w:p w14:paraId="4CA9C2CC" w14:textId="77777777" w:rsidR="006815F1" w:rsidRPr="00C77D1A" w:rsidRDefault="006815F1" w:rsidP="006815F1">
      <w:pPr>
        <w:pStyle w:val="ListParagraph"/>
        <w:numPr>
          <w:ilvl w:val="0"/>
          <w:numId w:val="7"/>
        </w:numPr>
        <w:rPr>
          <w:u w:val="single"/>
        </w:rPr>
      </w:pPr>
      <w:r w:rsidRPr="00C77D1A">
        <w:rPr>
          <w:u w:val="single"/>
        </w:rPr>
        <w:lastRenderedPageBreak/>
        <w:t xml:space="preserve">2. Relevance vs. Reliability: </w:t>
      </w:r>
    </w:p>
    <w:p w14:paraId="27A2F1F0" w14:textId="77777777" w:rsidR="00251004" w:rsidRDefault="00251004" w:rsidP="00251004">
      <w:pPr>
        <w:pStyle w:val="ListParagraph"/>
        <w:numPr>
          <w:ilvl w:val="1"/>
          <w:numId w:val="7"/>
        </w:numPr>
      </w:pPr>
      <w:r>
        <w:t>Historical cost is relatively reliable since the cost of an asset/liability to a firm is usually a verifiable number that is less subject to errors of estimation and bias than are PV calculations</w:t>
      </w:r>
    </w:p>
    <w:p w14:paraId="31285842" w14:textId="77777777" w:rsidR="00251004" w:rsidRDefault="00251004" w:rsidP="00251004">
      <w:pPr>
        <w:pStyle w:val="ListParagraph"/>
        <w:numPr>
          <w:ilvl w:val="1"/>
          <w:numId w:val="7"/>
        </w:numPr>
      </w:pPr>
      <w:r>
        <w:t>Historical cost may be low in relevance – may not be what it is actually worth today</w:t>
      </w:r>
    </w:p>
    <w:p w14:paraId="73CEAE2C" w14:textId="77777777" w:rsidR="00251004" w:rsidRPr="00C77D1A" w:rsidRDefault="00251004" w:rsidP="00251004">
      <w:pPr>
        <w:pStyle w:val="ListParagraph"/>
        <w:numPr>
          <w:ilvl w:val="0"/>
          <w:numId w:val="7"/>
        </w:numPr>
        <w:rPr>
          <w:u w:val="single"/>
        </w:rPr>
      </w:pPr>
      <w:r w:rsidRPr="00C77D1A">
        <w:rPr>
          <w:u w:val="single"/>
        </w:rPr>
        <w:t>3. Revenue Recognition:</w:t>
      </w:r>
    </w:p>
    <w:p w14:paraId="5AFCB1CA" w14:textId="77777777" w:rsidR="00251004" w:rsidRDefault="00251004" w:rsidP="00251004">
      <w:pPr>
        <w:pStyle w:val="ListParagraph"/>
        <w:numPr>
          <w:ilvl w:val="1"/>
          <w:numId w:val="7"/>
        </w:numPr>
      </w:pPr>
      <w:r>
        <w:t>Current value accounting implies earlier revenue recognition than under historical cost</w:t>
      </w:r>
    </w:p>
    <w:p w14:paraId="2B3D6A20" w14:textId="77777777" w:rsidR="00251004" w:rsidRDefault="00251004" w:rsidP="00251004">
      <w:pPr>
        <w:pStyle w:val="ListParagraph"/>
        <w:numPr>
          <w:ilvl w:val="1"/>
          <w:numId w:val="7"/>
        </w:numPr>
      </w:pPr>
      <w:r>
        <w:t>Revenue is recognized earlier under current value accounting</w:t>
      </w:r>
    </w:p>
    <w:p w14:paraId="6E1D1BFF" w14:textId="77777777" w:rsidR="00251004" w:rsidRPr="00C77D1A" w:rsidRDefault="00251004" w:rsidP="00251004">
      <w:pPr>
        <w:pStyle w:val="ListParagraph"/>
        <w:numPr>
          <w:ilvl w:val="0"/>
          <w:numId w:val="7"/>
        </w:numPr>
        <w:rPr>
          <w:u w:val="single"/>
        </w:rPr>
      </w:pPr>
      <w:r w:rsidRPr="00C77D1A">
        <w:rPr>
          <w:u w:val="single"/>
        </w:rPr>
        <w:t>4. Recognition Lag:</w:t>
      </w:r>
    </w:p>
    <w:p w14:paraId="6DC805B0" w14:textId="77777777" w:rsidR="00251004" w:rsidRDefault="00251004" w:rsidP="00251004">
      <w:pPr>
        <w:pStyle w:val="ListParagraph"/>
        <w:numPr>
          <w:ilvl w:val="1"/>
          <w:numId w:val="7"/>
        </w:numPr>
      </w:pPr>
      <w:r>
        <w:t>Current value accounting has little recognition lag since changes in economic value are recognized as they occur</w:t>
      </w:r>
    </w:p>
    <w:p w14:paraId="2D8F1B1D" w14:textId="77777777" w:rsidR="00251004" w:rsidRDefault="00251004" w:rsidP="00251004">
      <w:pPr>
        <w:pStyle w:val="ListParagraph"/>
        <w:numPr>
          <w:ilvl w:val="1"/>
          <w:numId w:val="7"/>
        </w:numPr>
      </w:pPr>
      <w:r>
        <w:t>Historical cost accounting has greater recognition lag</w:t>
      </w:r>
    </w:p>
    <w:p w14:paraId="660FE9D8" w14:textId="77777777" w:rsidR="00C77D1A" w:rsidRPr="00C77D1A" w:rsidRDefault="00C77D1A" w:rsidP="00C77D1A">
      <w:pPr>
        <w:pStyle w:val="ListParagraph"/>
        <w:numPr>
          <w:ilvl w:val="0"/>
          <w:numId w:val="7"/>
        </w:numPr>
        <w:rPr>
          <w:u w:val="single"/>
        </w:rPr>
      </w:pPr>
      <w:r w:rsidRPr="00C77D1A">
        <w:rPr>
          <w:u w:val="single"/>
        </w:rPr>
        <w:t>5. Matching of Costs and Revenues:</w:t>
      </w:r>
    </w:p>
    <w:p w14:paraId="0B8AFA29" w14:textId="77777777" w:rsidR="00C77D1A" w:rsidRDefault="00C77D1A" w:rsidP="00C77D1A">
      <w:pPr>
        <w:pStyle w:val="ListParagraph"/>
        <w:numPr>
          <w:ilvl w:val="1"/>
          <w:numId w:val="7"/>
        </w:numPr>
      </w:pPr>
      <w:r>
        <w:t>Little matching under current value accounting since net income describes the changes of how current values have changed over the period</w:t>
      </w:r>
    </w:p>
    <w:p w14:paraId="6DAB9F94" w14:textId="77777777" w:rsidR="00C77D1A" w:rsidRDefault="00C77D1A" w:rsidP="00C77D1A">
      <w:pPr>
        <w:pStyle w:val="ListParagraph"/>
        <w:numPr>
          <w:ilvl w:val="1"/>
          <w:numId w:val="7"/>
        </w:numPr>
      </w:pPr>
      <w:r>
        <w:t>Matching is primarily associated with historical cost accounting since net income is accomplished through accruals</w:t>
      </w:r>
    </w:p>
    <w:p w14:paraId="6C15E2CE" w14:textId="77777777" w:rsidR="00C77D1A" w:rsidRDefault="00C77D1A" w:rsidP="00C77D1A">
      <w:pPr>
        <w:pStyle w:val="ListParagraph"/>
        <w:numPr>
          <w:ilvl w:val="2"/>
          <w:numId w:val="7"/>
        </w:numPr>
      </w:pPr>
      <w:r>
        <w:t>Not completely reliable because amortization (which requires a deduction from revenue) is a highly subjective estimate and management bias re which amortization method helps best manage reported profitability</w:t>
      </w:r>
    </w:p>
    <w:p w14:paraId="1EAAE45C" w14:textId="77777777" w:rsidR="00C77D1A" w:rsidRPr="001B3B67" w:rsidRDefault="00C77D1A" w:rsidP="00C77D1A">
      <w:pPr>
        <w:rPr>
          <w:b/>
        </w:rPr>
      </w:pPr>
      <w:r w:rsidRPr="001B3B67">
        <w:rPr>
          <w:b/>
        </w:rPr>
        <w:t>2.6 The Non-Existence of True Net Income</w:t>
      </w:r>
    </w:p>
    <w:p w14:paraId="1D076A13" w14:textId="77777777" w:rsidR="00C77D1A" w:rsidRDefault="00C77D1A" w:rsidP="00C77D1A">
      <w:pPr>
        <w:pStyle w:val="ListParagraph"/>
        <w:numPr>
          <w:ilvl w:val="0"/>
          <w:numId w:val="8"/>
        </w:numPr>
      </w:pPr>
      <w:r>
        <w:t>On a current value basis, net income is the change in the firm’s current value during the period (adjusted for capital transactions such as dividends)</w:t>
      </w:r>
    </w:p>
    <w:p w14:paraId="407D2DC6" w14:textId="77777777" w:rsidR="00C77D1A" w:rsidRPr="00FA5548" w:rsidRDefault="00C77D1A" w:rsidP="00C77D1A">
      <w:pPr>
        <w:pStyle w:val="ListParagraph"/>
        <w:numPr>
          <w:ilvl w:val="0"/>
          <w:numId w:val="8"/>
        </w:numPr>
        <w:rPr>
          <w:highlight w:val="yellow"/>
        </w:rPr>
      </w:pPr>
      <w:r w:rsidRPr="00FA5548">
        <w:rPr>
          <w:highlight w:val="yellow"/>
        </w:rPr>
        <w:t>Question:</w:t>
      </w:r>
      <w:r>
        <w:t xml:space="preserve"> </w:t>
      </w:r>
      <w:r w:rsidRPr="00FA5548">
        <w:rPr>
          <w:highlight w:val="yellow"/>
        </w:rPr>
        <w:t>Applying RRA principal, does net income exist as a well-defined economic construct?</w:t>
      </w:r>
    </w:p>
    <w:p w14:paraId="1D51DABA" w14:textId="77777777" w:rsidR="00C77D1A" w:rsidRDefault="00C77D1A" w:rsidP="00C77D1A">
      <w:pPr>
        <w:pStyle w:val="ListParagraph"/>
        <w:numPr>
          <w:ilvl w:val="1"/>
          <w:numId w:val="8"/>
        </w:numPr>
      </w:pPr>
      <w:r>
        <w:t>No. Examine the difference in net income under PV accounting and current value accounting</w:t>
      </w:r>
    </w:p>
    <w:p w14:paraId="6840C438" w14:textId="77777777" w:rsidR="00C77D1A" w:rsidRDefault="00C77D1A" w:rsidP="00C77D1A">
      <w:pPr>
        <w:pStyle w:val="ListParagraph"/>
        <w:numPr>
          <w:ilvl w:val="1"/>
          <w:numId w:val="8"/>
        </w:numPr>
      </w:pPr>
      <w:r>
        <w:t xml:space="preserve">The fundamental problem is the lack of objective state probabilities – since </w:t>
      </w:r>
      <w:r w:rsidR="00FA5548">
        <w:t xml:space="preserve">they are more subjective, the present values of assets and liabilities do not fully reflect the uncertainty facing the firm </w:t>
      </w:r>
    </w:p>
    <w:p w14:paraId="17B49075" w14:textId="77777777" w:rsidR="00FA5548" w:rsidRDefault="00FA5548" w:rsidP="00C77D1A">
      <w:pPr>
        <w:pStyle w:val="ListParagraph"/>
        <w:numPr>
          <w:ilvl w:val="1"/>
          <w:numId w:val="8"/>
        </w:numPr>
      </w:pPr>
      <w:r>
        <w:t>Incomplete markets – there are not ready markets for all assets/liabilities so we cannot create an income measure based on changes in market values</w:t>
      </w:r>
    </w:p>
    <w:p w14:paraId="05169281" w14:textId="77777777" w:rsidR="00FA5548" w:rsidRDefault="00FA5548" w:rsidP="00C77D1A">
      <w:pPr>
        <w:pStyle w:val="ListParagraph"/>
        <w:numPr>
          <w:ilvl w:val="1"/>
          <w:numId w:val="8"/>
        </w:numPr>
      </w:pPr>
      <w:r>
        <w:t>The reason we cannot have true net income then, is because</w:t>
      </w:r>
    </w:p>
    <w:p w14:paraId="4DFF029B" w14:textId="77777777" w:rsidR="00FA5548" w:rsidRDefault="00FA5548" w:rsidP="00FA5548">
      <w:pPr>
        <w:pStyle w:val="ListParagraph"/>
        <w:numPr>
          <w:ilvl w:val="2"/>
          <w:numId w:val="8"/>
        </w:numPr>
      </w:pPr>
      <w:r>
        <w:t>1. PV accounting does not hold up in the real world because we do not operate under ideal conditions – because of this we cannot predict with relative frequency the states of nature and PV does not correctly reflect the uncertainty facing the firm</w:t>
      </w:r>
    </w:p>
    <w:p w14:paraId="4B13C06F" w14:textId="77777777" w:rsidR="00FA5548" w:rsidRDefault="00FA5548" w:rsidP="00FA5548">
      <w:pPr>
        <w:pStyle w:val="ListParagraph"/>
        <w:numPr>
          <w:ilvl w:val="2"/>
          <w:numId w:val="8"/>
        </w:numPr>
      </w:pPr>
      <w:r>
        <w:t>2. Market prices for all assets and liabilities are not readily available</w:t>
      </w:r>
    </w:p>
    <w:p w14:paraId="4FCA5124" w14:textId="77777777" w:rsidR="00FA5548" w:rsidRDefault="00FA5548" w:rsidP="00FA5548">
      <w:pPr>
        <w:pStyle w:val="ListParagraph"/>
        <w:numPr>
          <w:ilvl w:val="2"/>
          <w:numId w:val="8"/>
        </w:numPr>
      </w:pPr>
      <w:r>
        <w:t>3. Therefore, we must use estimates which results in increased relevance, but decreased reliability</w:t>
      </w:r>
      <w:r w:rsidR="0047451D">
        <w:t xml:space="preserve"> (relevance/reliability trade-off)</w:t>
      </w:r>
    </w:p>
    <w:p w14:paraId="1F97C4B9" w14:textId="77777777" w:rsidR="000A02C6" w:rsidRDefault="000A02C6" w:rsidP="000A02C6"/>
    <w:p w14:paraId="1C629D3D" w14:textId="77777777" w:rsidR="000A02C6" w:rsidRDefault="000A02C6" w:rsidP="000A02C6"/>
    <w:p w14:paraId="0E36F133" w14:textId="77777777" w:rsidR="000A02C6" w:rsidRPr="00D85957" w:rsidRDefault="000A02C6" w:rsidP="000A02C6">
      <w:pPr>
        <w:rPr>
          <w:b/>
          <w:sz w:val="28"/>
          <w:szCs w:val="28"/>
          <w:u w:val="single"/>
        </w:rPr>
      </w:pPr>
      <w:r w:rsidRPr="00D85957">
        <w:rPr>
          <w:b/>
          <w:sz w:val="28"/>
          <w:szCs w:val="28"/>
          <w:u w:val="single"/>
        </w:rPr>
        <w:lastRenderedPageBreak/>
        <w:t>Chapter 3: The Decision Usefulness Approach to Financial Reporting</w:t>
      </w:r>
    </w:p>
    <w:p w14:paraId="6CCFE24E" w14:textId="77777777" w:rsidR="000A02C6" w:rsidRPr="00D85957" w:rsidRDefault="000A02C6" w:rsidP="000A02C6">
      <w:pPr>
        <w:rPr>
          <w:b/>
        </w:rPr>
      </w:pPr>
      <w:r w:rsidRPr="00D85957">
        <w:rPr>
          <w:b/>
        </w:rPr>
        <w:t>3.2 The Decision Usefulness Approach</w:t>
      </w:r>
    </w:p>
    <w:p w14:paraId="7E29ADB0" w14:textId="77777777" w:rsidR="000A02C6" w:rsidRDefault="000A02C6" w:rsidP="000A02C6">
      <w:pPr>
        <w:pStyle w:val="ListParagraph"/>
        <w:numPr>
          <w:ilvl w:val="0"/>
          <w:numId w:val="9"/>
        </w:numPr>
      </w:pPr>
      <w:r>
        <w:t>Decision usefulness is contrasted with another view of the role of financial reporting, namely stewardship, whereby the role is to report on management’s success, or lack thereof, in managing the firm’s resources</w:t>
      </w:r>
    </w:p>
    <w:p w14:paraId="1FF933BF" w14:textId="77777777" w:rsidR="000A02C6" w:rsidRDefault="000A02C6" w:rsidP="000A02C6">
      <w:pPr>
        <w:pStyle w:val="ListParagraph"/>
        <w:numPr>
          <w:ilvl w:val="0"/>
          <w:numId w:val="9"/>
        </w:numPr>
      </w:pPr>
      <w:proofErr w:type="gramStart"/>
      <w:r>
        <w:t>In  adopting</w:t>
      </w:r>
      <w:proofErr w:type="gramEnd"/>
      <w:r>
        <w:t xml:space="preserve"> the decision usefulness approach, 2 questions must be addressed:</w:t>
      </w:r>
    </w:p>
    <w:p w14:paraId="3642F523" w14:textId="77777777" w:rsidR="000A02C6" w:rsidRDefault="000A02C6" w:rsidP="000A02C6">
      <w:pPr>
        <w:pStyle w:val="ListParagraph"/>
        <w:numPr>
          <w:ilvl w:val="1"/>
          <w:numId w:val="9"/>
        </w:numPr>
      </w:pPr>
      <w:r>
        <w:t>1. Who are the users of financial statements?</w:t>
      </w:r>
    </w:p>
    <w:p w14:paraId="41C315E2" w14:textId="77777777" w:rsidR="000A02C6" w:rsidRDefault="000A02C6" w:rsidP="000A02C6">
      <w:pPr>
        <w:pStyle w:val="ListParagraph"/>
        <w:numPr>
          <w:ilvl w:val="2"/>
          <w:numId w:val="9"/>
        </w:numPr>
      </w:pPr>
      <w:r>
        <w:t>Constituencies of accounting: equity and debt investors, managers, unions, standard setters, governments</w:t>
      </w:r>
    </w:p>
    <w:p w14:paraId="742B5498" w14:textId="77777777" w:rsidR="000A02C6" w:rsidRDefault="000A02C6" w:rsidP="000A02C6">
      <w:pPr>
        <w:pStyle w:val="ListParagraph"/>
        <w:numPr>
          <w:ilvl w:val="1"/>
          <w:numId w:val="9"/>
        </w:numPr>
      </w:pPr>
      <w:r>
        <w:t>2. What are the decision problems of financial statement users?</w:t>
      </w:r>
    </w:p>
    <w:p w14:paraId="3D592EB9" w14:textId="77777777" w:rsidR="000A02C6" w:rsidRDefault="000A02C6" w:rsidP="000A02C6">
      <w:pPr>
        <w:pStyle w:val="ListParagraph"/>
        <w:numPr>
          <w:ilvl w:val="2"/>
          <w:numId w:val="9"/>
        </w:numPr>
      </w:pPr>
      <w:r>
        <w:t>Important to help accountants tailor financial statement information to the specific needs of the users to lead to improved decision making</w:t>
      </w:r>
    </w:p>
    <w:p w14:paraId="21625171" w14:textId="77777777" w:rsidR="000A02C6" w:rsidRDefault="000A02C6" w:rsidP="000A02C6">
      <w:pPr>
        <w:pStyle w:val="ListParagraph"/>
        <w:numPr>
          <w:ilvl w:val="0"/>
          <w:numId w:val="9"/>
        </w:numPr>
      </w:pPr>
      <w:r>
        <w:t>Accountants have adopted a decision usefulness approach to financial reporting as a reaction to the impossibility of preparing theoretically correct financial statements</w:t>
      </w:r>
    </w:p>
    <w:p w14:paraId="53DB148C" w14:textId="77777777" w:rsidR="000A02C6" w:rsidRPr="00D85957" w:rsidRDefault="000A02C6" w:rsidP="000A02C6">
      <w:pPr>
        <w:rPr>
          <w:b/>
        </w:rPr>
      </w:pPr>
      <w:r w:rsidRPr="00D85957">
        <w:rPr>
          <w:b/>
        </w:rPr>
        <w:t xml:space="preserve">3.3 Single-Person Decision Theory </w:t>
      </w:r>
    </w:p>
    <w:p w14:paraId="16B0170E" w14:textId="77777777" w:rsidR="000A02C6" w:rsidRDefault="000A02C6" w:rsidP="000A02C6">
      <w:pPr>
        <w:pStyle w:val="ListParagraph"/>
        <w:numPr>
          <w:ilvl w:val="0"/>
          <w:numId w:val="10"/>
        </w:numPr>
      </w:pPr>
      <w:r>
        <w:t>Takes the viewpoint of an individual who must make a decision under conditions of uncertainty</w:t>
      </w:r>
    </w:p>
    <w:p w14:paraId="7C711F8A" w14:textId="77777777" w:rsidR="000A02C6" w:rsidRDefault="000A02C6" w:rsidP="000A02C6">
      <w:pPr>
        <w:pStyle w:val="ListParagraph"/>
        <w:numPr>
          <w:ilvl w:val="1"/>
          <w:numId w:val="10"/>
        </w:numPr>
      </w:pPr>
      <w:r>
        <w:t>Recognizes that state probabilities are no longer objective and sets out a formal procedure whereby the individual can make the best decision by selecting from a state of alternatives</w:t>
      </w:r>
    </w:p>
    <w:p w14:paraId="1AD3FED3" w14:textId="77777777" w:rsidR="002775FF" w:rsidRDefault="002775FF" w:rsidP="002775FF">
      <w:r>
        <w:t>Example:</w:t>
      </w:r>
    </w:p>
    <w:p w14:paraId="51E3AAB6" w14:textId="77777777" w:rsidR="002775FF" w:rsidRDefault="002775FF" w:rsidP="002775FF">
      <w:r>
        <w:rPr>
          <w:noProof/>
          <w:lang w:val="en-US"/>
        </w:rPr>
        <w:drawing>
          <wp:inline distT="0" distB="0" distL="0" distR="0" wp14:anchorId="21433A66" wp14:editId="2B241354">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618DB97" w14:textId="77777777" w:rsidR="00E37FE0" w:rsidRDefault="00E37FE0" w:rsidP="00E37FE0">
      <w:pPr>
        <w:pStyle w:val="ListParagraph"/>
        <w:ind w:left="360"/>
      </w:pPr>
    </w:p>
    <w:p w14:paraId="22ACF0AC" w14:textId="77777777" w:rsidR="00E37FE0" w:rsidRPr="00D85957" w:rsidRDefault="00E37FE0" w:rsidP="00E37FE0">
      <w:pPr>
        <w:rPr>
          <w:u w:val="single"/>
        </w:rPr>
      </w:pPr>
      <w:r w:rsidRPr="00D85957">
        <w:rPr>
          <w:u w:val="single"/>
        </w:rPr>
        <w:lastRenderedPageBreak/>
        <w:t>STEP 1: EXAMINE STATE PROBABILITIES</w:t>
      </w:r>
      <w:r w:rsidR="00D85957">
        <w:rPr>
          <w:u w:val="single"/>
        </w:rPr>
        <w:t xml:space="preserve"> (PRIOR PROBABILITIES)</w:t>
      </w:r>
    </w:p>
    <w:p w14:paraId="5F99AE87" w14:textId="77777777" w:rsidR="002775FF" w:rsidRDefault="002775FF" w:rsidP="002775FF">
      <w:pPr>
        <w:pStyle w:val="ListParagraph"/>
        <w:numPr>
          <w:ilvl w:val="0"/>
          <w:numId w:val="10"/>
        </w:numPr>
      </w:pPr>
      <w:r>
        <w:t>The 30%/70% subjective probability of the good/bad state occurring incorporate all the information the investor knows about X Ltd (financial statement info, market price of shares, news about company)</w:t>
      </w:r>
    </w:p>
    <w:p w14:paraId="25C96C27" w14:textId="77777777" w:rsidR="002775FF" w:rsidRDefault="002775FF" w:rsidP="002775FF">
      <w:pPr>
        <w:pStyle w:val="ListParagraph"/>
        <w:numPr>
          <w:ilvl w:val="1"/>
          <w:numId w:val="10"/>
        </w:numPr>
      </w:pPr>
      <w:r>
        <w:t xml:space="preserve">These are called </w:t>
      </w:r>
      <w:r w:rsidRPr="002775FF">
        <w:rPr>
          <w:b/>
        </w:rPr>
        <w:t>prior probabilities</w:t>
      </w:r>
      <w:r>
        <w:t xml:space="preserve"> </w:t>
      </w:r>
    </w:p>
    <w:p w14:paraId="3B46D85A" w14:textId="77777777" w:rsidR="002775FF" w:rsidRDefault="00E37FE0" w:rsidP="002775FF">
      <w:pPr>
        <w:pStyle w:val="ListParagraph"/>
        <w:numPr>
          <w:ilvl w:val="0"/>
          <w:numId w:val="10"/>
        </w:numPr>
      </w:pPr>
      <w:r>
        <w:t>We assume that the investor’s utility = the square root of the payoff</w:t>
      </w:r>
    </w:p>
    <w:p w14:paraId="27E6D9C6" w14:textId="77777777" w:rsidR="00E37FE0" w:rsidRPr="00E37FE0" w:rsidRDefault="00E37FE0" w:rsidP="00E37FE0">
      <w:pPr>
        <w:pStyle w:val="ListParagraph"/>
        <w:numPr>
          <w:ilvl w:val="1"/>
          <w:numId w:val="10"/>
        </w:numPr>
      </w:pPr>
      <w:r>
        <w:t xml:space="preserve">High performance: utility = </w:t>
      </w:r>
      <m:oMath>
        <m:rad>
          <m:radPr>
            <m:degHide m:val="1"/>
            <m:ctrlPr>
              <w:rPr>
                <w:rFonts w:ascii="Cambria Math" w:hAnsi="Cambria Math"/>
                <w:i/>
              </w:rPr>
            </m:ctrlPr>
          </m:radPr>
          <m:deg/>
          <m:e>
            <m:r>
              <w:rPr>
                <w:rFonts w:ascii="Cambria Math" w:hAnsi="Cambria Math"/>
              </w:rPr>
              <m:t>1600</m:t>
            </m:r>
          </m:e>
        </m:rad>
        <m:r>
          <w:rPr>
            <w:rFonts w:ascii="Cambria Math" w:hAnsi="Cambria Math"/>
          </w:rPr>
          <m:t>=40</m:t>
        </m:r>
      </m:oMath>
    </w:p>
    <w:p w14:paraId="5E3D5C0A" w14:textId="77777777" w:rsidR="00E37FE0" w:rsidRPr="00E37FE0" w:rsidRDefault="00E37FE0" w:rsidP="00E37FE0">
      <w:pPr>
        <w:pStyle w:val="ListParagraph"/>
        <w:numPr>
          <w:ilvl w:val="1"/>
          <w:numId w:val="10"/>
        </w:numPr>
      </w:pPr>
      <w:r>
        <w:rPr>
          <w:rFonts w:eastAsiaTheme="minorEastAsia"/>
        </w:rPr>
        <w:t xml:space="preserve">Low performance: utility = </w:t>
      </w:r>
      <m:oMath>
        <m:rad>
          <m:radPr>
            <m:degHide m:val="1"/>
            <m:ctrlPr>
              <w:rPr>
                <w:rFonts w:ascii="Cambria Math" w:hAnsi="Cambria Math"/>
                <w:i/>
              </w:rPr>
            </m:ctrlPr>
          </m:radPr>
          <m:deg/>
          <m:e>
            <m:r>
              <w:rPr>
                <w:rFonts w:ascii="Cambria Math" w:hAnsi="Cambria Math"/>
              </w:rPr>
              <m:t>0</m:t>
            </m:r>
          </m:e>
        </m:rad>
        <m:r>
          <w:rPr>
            <w:rFonts w:ascii="Cambria Math" w:hAnsi="Cambria Math"/>
          </w:rPr>
          <m:t>=0</m:t>
        </m:r>
      </m:oMath>
    </w:p>
    <w:p w14:paraId="7300E709" w14:textId="77777777" w:rsidR="00E37FE0" w:rsidRPr="00E37FE0" w:rsidRDefault="00E37FE0" w:rsidP="00E37FE0">
      <w:pPr>
        <w:pStyle w:val="ListParagraph"/>
        <w:numPr>
          <w:ilvl w:val="1"/>
          <w:numId w:val="10"/>
        </w:numPr>
        <w:rPr>
          <w:rFonts w:eastAsiaTheme="minorEastAsia"/>
        </w:rPr>
      </w:pPr>
      <w:r>
        <w:rPr>
          <w:rFonts w:eastAsiaTheme="minorEastAsia"/>
        </w:rPr>
        <w:t xml:space="preserve">Single state: utility = </w:t>
      </w:r>
      <m:oMath>
        <m:rad>
          <m:radPr>
            <m:degHide m:val="1"/>
            <m:ctrlPr>
              <w:rPr>
                <w:rFonts w:ascii="Cambria Math" w:hAnsi="Cambria Math"/>
                <w:i/>
              </w:rPr>
            </m:ctrlPr>
          </m:radPr>
          <m:deg/>
          <m:e>
            <m:r>
              <w:rPr>
                <w:rFonts w:ascii="Cambria Math" w:hAnsi="Cambria Math"/>
              </w:rPr>
              <m:t>225</m:t>
            </m:r>
          </m:e>
        </m:rad>
        <m:r>
          <w:rPr>
            <w:rFonts w:ascii="Cambria Math" w:hAnsi="Cambria Math"/>
          </w:rPr>
          <m:t>=15</m:t>
        </m:r>
      </m:oMath>
    </w:p>
    <w:p w14:paraId="04AC4AB2" w14:textId="77777777" w:rsidR="00E37FE0" w:rsidRDefault="00E37FE0" w:rsidP="00E37FE0">
      <w:pPr>
        <w:pStyle w:val="ListParagraph"/>
        <w:numPr>
          <w:ilvl w:val="0"/>
          <w:numId w:val="10"/>
        </w:numPr>
        <w:rPr>
          <w:rFonts w:eastAsiaTheme="minorEastAsia"/>
        </w:rPr>
      </w:pPr>
      <w:r>
        <w:rPr>
          <w:rFonts w:eastAsiaTheme="minorEastAsia"/>
        </w:rPr>
        <w:t>We use utilities rather than dollars because we assume that investors are risk averse -- * we evaluate utility in terms of its effect on his own wealth</w:t>
      </w:r>
    </w:p>
    <w:p w14:paraId="60BA3D0B" w14:textId="77777777" w:rsidR="00E37FE0" w:rsidRDefault="00E37FE0" w:rsidP="00E37FE0">
      <w:pPr>
        <w:pStyle w:val="ListParagraph"/>
        <w:numPr>
          <w:ilvl w:val="0"/>
          <w:numId w:val="10"/>
        </w:numPr>
        <w:rPr>
          <w:rFonts w:eastAsiaTheme="minorEastAsia"/>
        </w:rPr>
      </w:pPr>
      <w:r>
        <w:rPr>
          <w:rFonts w:eastAsiaTheme="minorEastAsia"/>
        </w:rPr>
        <w:t>The decision theory tells us that the investor should choose the act with the highest expected utility</w:t>
      </w:r>
    </w:p>
    <w:p w14:paraId="63C4B98B" w14:textId="77777777" w:rsidR="00E37FE0" w:rsidRDefault="00E37FE0" w:rsidP="00E37FE0">
      <w:pPr>
        <w:pStyle w:val="ListParagraph"/>
        <w:numPr>
          <w:ilvl w:val="1"/>
          <w:numId w:val="10"/>
        </w:numPr>
        <w:rPr>
          <w:rFonts w:eastAsiaTheme="minorEastAsia"/>
        </w:rPr>
      </w:pPr>
      <w:proofErr w:type="gramStart"/>
      <w:r>
        <w:rPr>
          <w:rFonts w:eastAsiaTheme="minorEastAsia"/>
        </w:rPr>
        <w:t>EU(</w:t>
      </w:r>
      <w:proofErr w:type="gramEnd"/>
      <w:r>
        <w:rPr>
          <w:rFonts w:eastAsiaTheme="minorEastAsia"/>
        </w:rPr>
        <w:t>a1) = (0.30 X 40) + (0.70 X 0) = 12</w:t>
      </w:r>
    </w:p>
    <w:p w14:paraId="0D0EEE94" w14:textId="77777777" w:rsidR="00E37FE0" w:rsidRDefault="00E37FE0" w:rsidP="00E37FE0">
      <w:pPr>
        <w:pStyle w:val="ListParagraph"/>
        <w:numPr>
          <w:ilvl w:val="1"/>
          <w:numId w:val="10"/>
        </w:numPr>
        <w:rPr>
          <w:rFonts w:eastAsiaTheme="minorEastAsia"/>
        </w:rPr>
      </w:pPr>
      <w:r>
        <w:rPr>
          <w:rFonts w:eastAsiaTheme="minorEastAsia"/>
        </w:rPr>
        <w:t>EU (a2) = (1.00 X 15) = 15</w:t>
      </w:r>
    </w:p>
    <w:p w14:paraId="10E35885" w14:textId="77777777" w:rsidR="00E37FE0" w:rsidRDefault="00E37FE0" w:rsidP="00E37FE0">
      <w:pPr>
        <w:pStyle w:val="ListParagraph"/>
        <w:numPr>
          <w:ilvl w:val="1"/>
          <w:numId w:val="10"/>
        </w:numPr>
        <w:rPr>
          <w:rFonts w:eastAsiaTheme="minorEastAsia"/>
        </w:rPr>
      </w:pPr>
      <w:r>
        <w:rPr>
          <w:rFonts w:eastAsiaTheme="minorEastAsia"/>
        </w:rPr>
        <w:t>Therefore, the investor should invest in government bonds</w:t>
      </w:r>
    </w:p>
    <w:p w14:paraId="7CC794FE" w14:textId="77777777" w:rsidR="00E37FE0" w:rsidRPr="00D85957" w:rsidRDefault="00E37FE0" w:rsidP="00E37FE0">
      <w:pPr>
        <w:rPr>
          <w:rFonts w:eastAsiaTheme="minorEastAsia"/>
          <w:u w:val="single"/>
        </w:rPr>
      </w:pPr>
      <w:r w:rsidRPr="00D85957">
        <w:rPr>
          <w:rFonts w:eastAsiaTheme="minorEastAsia"/>
          <w:u w:val="single"/>
        </w:rPr>
        <w:t xml:space="preserve">STEP 2: OBTAIN ADDITIONAL INFORMATION </w:t>
      </w:r>
      <w:r w:rsidR="005B7B7A" w:rsidRPr="00D85957">
        <w:rPr>
          <w:rFonts w:eastAsiaTheme="minorEastAsia"/>
          <w:u w:val="single"/>
        </w:rPr>
        <w:t>&amp; USE BAYES’ THEOREM</w:t>
      </w:r>
    </w:p>
    <w:p w14:paraId="0FABDAB3" w14:textId="77777777" w:rsidR="00E37FE0" w:rsidRDefault="00E37FE0" w:rsidP="00E37FE0">
      <w:pPr>
        <w:pStyle w:val="ListParagraph"/>
        <w:numPr>
          <w:ilvl w:val="0"/>
          <w:numId w:val="11"/>
        </w:numPr>
        <w:rPr>
          <w:rFonts w:eastAsiaTheme="minorEastAsia"/>
        </w:rPr>
      </w:pPr>
      <w:r>
        <w:rPr>
          <w:rFonts w:eastAsiaTheme="minorEastAsia"/>
        </w:rPr>
        <w:t>Investor could wait for more information to be released on his investment decision</w:t>
      </w:r>
    </w:p>
    <w:p w14:paraId="4EF1B368" w14:textId="1359A851" w:rsidR="00E37FE0" w:rsidRDefault="005B7B7A" w:rsidP="00E37FE0">
      <w:pPr>
        <w:pStyle w:val="ListParagraph"/>
        <w:numPr>
          <w:ilvl w:val="0"/>
          <w:numId w:val="11"/>
        </w:numPr>
        <w:rPr>
          <w:rFonts w:eastAsiaTheme="minorEastAsia"/>
        </w:rPr>
      </w:pPr>
      <w:r>
        <w:rPr>
          <w:rFonts w:eastAsiaTheme="minorEastAsia"/>
        </w:rPr>
        <w:t>Investor can use this information to make a prediction as to whether the firm will receive good news or bad news this year</w:t>
      </w:r>
    </w:p>
    <w:p w14:paraId="67DDADED" w14:textId="17B7E80D" w:rsidR="00286C83" w:rsidRPr="00286C83" w:rsidRDefault="005B7B7A" w:rsidP="00286C83">
      <w:pPr>
        <w:pStyle w:val="ListParagraph"/>
        <w:numPr>
          <w:ilvl w:val="0"/>
          <w:numId w:val="11"/>
        </w:numPr>
        <w:rPr>
          <w:rFonts w:eastAsiaTheme="minorEastAsia"/>
        </w:rPr>
      </w:pPr>
      <w:r>
        <w:rPr>
          <w:rFonts w:eastAsiaTheme="minorEastAsia"/>
        </w:rPr>
        <w:t>Bad news may occur because financial statements are not completely relevant/reliable</w:t>
      </w:r>
      <w:r w:rsidR="00286C83">
        <w:rPr>
          <w:rFonts w:eastAsiaTheme="minorEastAsia"/>
        </w:rPr>
        <w:t xml:space="preserve"> – reason for off-diagonal probabilities</w:t>
      </w:r>
    </w:p>
    <w:p w14:paraId="45260FCC" w14:textId="1ADD1F03" w:rsidR="00286C83" w:rsidRDefault="00286C83" w:rsidP="005B7B7A">
      <w:pPr>
        <w:pStyle w:val="ListParagraph"/>
        <w:numPr>
          <w:ilvl w:val="0"/>
          <w:numId w:val="11"/>
        </w:numPr>
        <w:rPr>
          <w:rFonts w:eastAsiaTheme="minorEastAsia"/>
        </w:rPr>
      </w:pPr>
      <w:r>
        <w:rPr>
          <w:rFonts w:eastAsiaTheme="minorEastAsia"/>
        </w:rPr>
        <w:t>If the main diagonal probabilities are high that means the f/s are relevant/reliable</w:t>
      </w:r>
    </w:p>
    <w:p w14:paraId="7101C1B3" w14:textId="221EEEB2" w:rsidR="00286C83" w:rsidRDefault="000679A8" w:rsidP="00286C83">
      <w:pPr>
        <w:rPr>
          <w:rFonts w:eastAsiaTheme="minorEastAsia"/>
        </w:rPr>
      </w:pPr>
      <w:r>
        <w:rPr>
          <w:rFonts w:eastAsiaTheme="minorEastAsia"/>
          <w:noProof/>
          <w:lang w:eastAsia="en-CA"/>
        </w:rPr>
        <w:pict w14:anchorId="220640CE">
          <v:shapetype id="_x0000_t202" coordsize="21600,21600" o:spt="202" path="m0,0l0,21600,21600,21600,21600,0xe">
            <v:stroke joinstyle="miter"/>
            <v:path gradientshapeok="t" o:connecttype="rect"/>
          </v:shapetype>
          <v:shape id="_x0000_s1033" type="#_x0000_t202" style="position:absolute;margin-left:6in;margin-top:13.35pt;width:61.5pt;height:35.25pt;z-index:251666432" stroked="f">
            <v:textbox>
              <w:txbxContent>
                <w:p w14:paraId="2F61423E" w14:textId="77777777" w:rsidR="005C38F6" w:rsidRPr="00931926" w:rsidRDefault="005C38F6">
                  <w:pPr>
                    <w:rPr>
                      <w:color w:val="0070C0"/>
                      <w:sz w:val="18"/>
                      <w:szCs w:val="18"/>
                    </w:rPr>
                  </w:pPr>
                  <w:r w:rsidRPr="00931926">
                    <w:rPr>
                      <w:color w:val="0070C0"/>
                      <w:sz w:val="18"/>
                      <w:szCs w:val="18"/>
                    </w:rPr>
                    <w:t>Information System</w:t>
                  </w:r>
                </w:p>
              </w:txbxContent>
            </v:textbox>
          </v:shape>
        </w:pict>
      </w:r>
    </w:p>
    <w:p w14:paraId="4DC3D3F9" w14:textId="6E919258" w:rsidR="00286C83" w:rsidRPr="00286C83" w:rsidRDefault="000679A8" w:rsidP="00286C83">
      <w:pPr>
        <w:rPr>
          <w:rFonts w:eastAsiaTheme="minorEastAsia"/>
        </w:rPr>
      </w:pPr>
      <w:r>
        <w:rPr>
          <w:rFonts w:eastAsiaTheme="minorEastAsia"/>
          <w:noProof/>
          <w:lang w:eastAsia="en-CA"/>
        </w:rPr>
        <w:pict w14:anchorId="64F0D6A8">
          <v:shapetype id="_x0000_t32" coordsize="21600,21600" o:spt="32" o:oned="t" path="m0,0l21600,21600e" filled="f">
            <v:path arrowok="t" fillok="f" o:connecttype="none"/>
            <o:lock v:ext="edit" shapetype="t"/>
          </v:shapetype>
          <v:shape id="_x0000_s1032" type="#_x0000_t32" style="position:absolute;margin-left:369pt;margin-top:5.9pt;width:54pt;height:14.25pt;flip:y;z-index:251665408" o:connectortype="straight" strokecolor="#0070c0">
            <v:stroke endarrow="block"/>
          </v:shape>
        </w:pict>
      </w:r>
      <w:r>
        <w:rPr>
          <w:rFonts w:eastAsiaTheme="minorEastAsia"/>
          <w:noProof/>
          <w:lang w:eastAsia="en-CA"/>
        </w:rPr>
        <w:pict w14:anchorId="0667D13D">
          <v:oval id="_x0000_s1031" style="position:absolute;margin-left:207pt;margin-top:14.9pt;width:213pt;height:97.5pt;z-index:251664384" filled="f" strokecolor="#0070c0"/>
        </w:pict>
      </w:r>
    </w:p>
    <w:tbl>
      <w:tblPr>
        <w:tblStyle w:val="TableGrid"/>
        <w:tblW w:w="0" w:type="auto"/>
        <w:tblLook w:val="04A0" w:firstRow="1" w:lastRow="0" w:firstColumn="1" w:lastColumn="0" w:noHBand="0" w:noVBand="1"/>
      </w:tblPr>
      <w:tblGrid>
        <w:gridCol w:w="2394"/>
        <w:gridCol w:w="2394"/>
        <w:gridCol w:w="2394"/>
        <w:gridCol w:w="2394"/>
      </w:tblGrid>
      <w:tr w:rsidR="005B7B7A" w14:paraId="535379FA" w14:textId="77777777" w:rsidTr="005B7B7A">
        <w:tc>
          <w:tcPr>
            <w:tcW w:w="2394" w:type="dxa"/>
            <w:vMerge w:val="restart"/>
          </w:tcPr>
          <w:p w14:paraId="29608698" w14:textId="77777777" w:rsidR="005B7B7A" w:rsidRDefault="005B7B7A" w:rsidP="005B7B7A">
            <w:pPr>
              <w:rPr>
                <w:rFonts w:eastAsiaTheme="minorEastAsia"/>
              </w:rPr>
            </w:pPr>
          </w:p>
          <w:p w14:paraId="77185054" w14:textId="77777777" w:rsidR="005B7B7A" w:rsidRDefault="005B7B7A" w:rsidP="005B7B7A">
            <w:pPr>
              <w:rPr>
                <w:rFonts w:eastAsiaTheme="minorEastAsia"/>
              </w:rPr>
            </w:pPr>
            <w:r>
              <w:rPr>
                <w:rFonts w:eastAsiaTheme="minorEastAsia"/>
              </w:rPr>
              <w:t>State</w:t>
            </w:r>
          </w:p>
        </w:tc>
        <w:tc>
          <w:tcPr>
            <w:tcW w:w="2394" w:type="dxa"/>
          </w:tcPr>
          <w:p w14:paraId="7ACEA1EB" w14:textId="77777777" w:rsidR="005B7B7A" w:rsidRDefault="005B7B7A" w:rsidP="005B7B7A">
            <w:pPr>
              <w:rPr>
                <w:rFonts w:eastAsiaTheme="minorEastAsia"/>
              </w:rPr>
            </w:pPr>
          </w:p>
        </w:tc>
        <w:tc>
          <w:tcPr>
            <w:tcW w:w="2394" w:type="dxa"/>
          </w:tcPr>
          <w:p w14:paraId="6426BADE" w14:textId="77777777" w:rsidR="005B7B7A" w:rsidRDefault="000679A8" w:rsidP="005B7B7A">
            <w:pPr>
              <w:rPr>
                <w:rFonts w:eastAsiaTheme="minorEastAsia"/>
              </w:rPr>
            </w:pPr>
            <w:r>
              <w:rPr>
                <w:rFonts w:eastAsiaTheme="minorEastAsia"/>
                <w:noProof/>
                <w:lang w:eastAsia="en-CA"/>
              </w:rPr>
              <w:pict w14:anchorId="57D2BB58">
                <v:oval id="_x0000_s1034" style="position:absolute;margin-left:113.1pt;margin-top:11.6pt;width:32.25pt;height:17.25pt;z-index:251667456;mso-position-horizontal-relative:text;mso-position-vertical-relative:text" filled="f" strokecolor="#00b050"/>
              </w:pict>
            </w:r>
            <w:r>
              <w:rPr>
                <w:rFonts w:eastAsiaTheme="minorEastAsia"/>
                <w:noProof/>
                <w:lang w:eastAsia="en-CA"/>
              </w:rPr>
              <w:pict w14:anchorId="4A6A02EC">
                <v:oval id="_x0000_s1026" style="position:absolute;margin-left:-4.65pt;margin-top:11.6pt;width:28.5pt;height:17.25pt;z-index:251658240;mso-position-horizontal-relative:text;mso-position-vertical-relative:text" filled="f" strokecolor="red"/>
              </w:pict>
            </w:r>
            <w:r w:rsidR="005B7B7A">
              <w:rPr>
                <w:rFonts w:eastAsiaTheme="minorEastAsia"/>
              </w:rPr>
              <w:t>Good News</w:t>
            </w:r>
          </w:p>
        </w:tc>
        <w:tc>
          <w:tcPr>
            <w:tcW w:w="2394" w:type="dxa"/>
          </w:tcPr>
          <w:p w14:paraId="3CDBB249" w14:textId="77777777" w:rsidR="005B7B7A" w:rsidRDefault="005B7B7A" w:rsidP="005B7B7A">
            <w:pPr>
              <w:rPr>
                <w:rFonts w:eastAsiaTheme="minorEastAsia"/>
              </w:rPr>
            </w:pPr>
            <w:r>
              <w:rPr>
                <w:rFonts w:eastAsiaTheme="minorEastAsia"/>
              </w:rPr>
              <w:t>Bad News</w:t>
            </w:r>
          </w:p>
        </w:tc>
      </w:tr>
      <w:tr w:rsidR="005B7B7A" w14:paraId="738FD828" w14:textId="77777777" w:rsidTr="005B7B7A">
        <w:tc>
          <w:tcPr>
            <w:tcW w:w="2394" w:type="dxa"/>
            <w:vMerge/>
          </w:tcPr>
          <w:p w14:paraId="447B5565" w14:textId="77777777" w:rsidR="005B7B7A" w:rsidRDefault="005B7B7A" w:rsidP="005B7B7A">
            <w:pPr>
              <w:rPr>
                <w:rFonts w:eastAsiaTheme="minorEastAsia"/>
              </w:rPr>
            </w:pPr>
          </w:p>
        </w:tc>
        <w:tc>
          <w:tcPr>
            <w:tcW w:w="2394" w:type="dxa"/>
          </w:tcPr>
          <w:p w14:paraId="4A87DAE8" w14:textId="77777777" w:rsidR="005B7B7A" w:rsidRDefault="000679A8" w:rsidP="005B7B7A">
            <w:pPr>
              <w:rPr>
                <w:rFonts w:eastAsiaTheme="minorEastAsia"/>
              </w:rPr>
            </w:pPr>
            <w:r>
              <w:rPr>
                <w:rFonts w:eastAsiaTheme="minorEastAsia"/>
                <w:noProof/>
                <w:lang w:eastAsia="en-CA"/>
              </w:rPr>
              <w:pict w14:anchorId="5FFEFD69">
                <v:shape id="_x0000_s1036" type="#_x0000_t32" style="position:absolute;margin-left:96.3pt;margin-top:14.95pt;width:145.5pt;height:53.25pt;flip:x;z-index:251669504;mso-position-horizontal-relative:text;mso-position-vertical-relative:text" o:connectortype="straight" strokecolor="#00b050">
                  <v:stroke endarrow="block"/>
                </v:shape>
              </w:pict>
            </w:r>
            <w:r w:rsidR="005B7B7A">
              <w:rPr>
                <w:rFonts w:eastAsiaTheme="minorEastAsia"/>
              </w:rPr>
              <w:t>High Performance (0.30)</w:t>
            </w:r>
          </w:p>
        </w:tc>
        <w:tc>
          <w:tcPr>
            <w:tcW w:w="2394" w:type="dxa"/>
          </w:tcPr>
          <w:p w14:paraId="58E5E09A" w14:textId="77777777" w:rsidR="005B7B7A" w:rsidRDefault="000679A8" w:rsidP="005B7B7A">
            <w:pPr>
              <w:rPr>
                <w:rFonts w:eastAsiaTheme="minorEastAsia"/>
              </w:rPr>
            </w:pPr>
            <w:r>
              <w:rPr>
                <w:rFonts w:eastAsiaTheme="minorEastAsia"/>
                <w:noProof/>
                <w:lang w:eastAsia="en-CA"/>
              </w:rPr>
              <w:pict w14:anchorId="544C91A4">
                <v:oval id="_x0000_s1035" style="position:absolute;margin-left:-4.65pt;margin-top:23.95pt;width:28.5pt;height:20.25pt;z-index:251668480;mso-position-horizontal-relative:text;mso-position-vertical-relative:text" filled="f" strokecolor="#00b050"/>
              </w:pict>
            </w:r>
            <w:r>
              <w:rPr>
                <w:rFonts w:eastAsiaTheme="minorEastAsia"/>
                <w:noProof/>
                <w:lang w:eastAsia="en-CA"/>
              </w:rPr>
              <w:pict w14:anchorId="187C1B05">
                <v:shape id="_x0000_s1028" type="#_x0000_t32" style="position:absolute;margin-left:18.6pt;margin-top:14.95pt;width:189.75pt;height:57.75pt;z-index:251660288;mso-position-horizontal-relative:text;mso-position-vertical-relative:text" o:connectortype="straight" strokecolor="red">
                  <v:stroke endarrow="block"/>
                </v:shape>
              </w:pict>
            </w:r>
            <w:r>
              <w:rPr>
                <w:rFonts w:eastAsiaTheme="minorEastAsia"/>
                <w:noProof/>
                <w:lang w:eastAsia="en-CA"/>
              </w:rPr>
              <w:pict w14:anchorId="6C254B82">
                <v:oval id="_x0000_s1027" style="position:absolute;margin-left:113.1pt;margin-top:23.95pt;width:32.25pt;height:16.5pt;z-index:251659264;mso-position-horizontal-relative:text;mso-position-vertical-relative:text" filled="f" strokecolor="red"/>
              </w:pict>
            </w:r>
            <w:r w:rsidR="005B7B7A">
              <w:rPr>
                <w:rFonts w:eastAsiaTheme="minorEastAsia"/>
              </w:rPr>
              <w:t>0.80</w:t>
            </w:r>
          </w:p>
        </w:tc>
        <w:tc>
          <w:tcPr>
            <w:tcW w:w="2394" w:type="dxa"/>
          </w:tcPr>
          <w:p w14:paraId="05E66A7C" w14:textId="77777777" w:rsidR="005B7B7A" w:rsidRDefault="005B7B7A" w:rsidP="005B7B7A">
            <w:pPr>
              <w:rPr>
                <w:rFonts w:eastAsiaTheme="minorEastAsia"/>
              </w:rPr>
            </w:pPr>
            <w:r>
              <w:rPr>
                <w:rFonts w:eastAsiaTheme="minorEastAsia"/>
              </w:rPr>
              <w:t>0.20</w:t>
            </w:r>
          </w:p>
        </w:tc>
      </w:tr>
      <w:tr w:rsidR="005B7B7A" w14:paraId="4D1B5B63" w14:textId="77777777" w:rsidTr="005B7B7A">
        <w:tc>
          <w:tcPr>
            <w:tcW w:w="2394" w:type="dxa"/>
            <w:vMerge/>
          </w:tcPr>
          <w:p w14:paraId="706470D0" w14:textId="77777777" w:rsidR="005B7B7A" w:rsidRDefault="005B7B7A" w:rsidP="005B7B7A">
            <w:pPr>
              <w:rPr>
                <w:rFonts w:eastAsiaTheme="minorEastAsia"/>
              </w:rPr>
            </w:pPr>
          </w:p>
        </w:tc>
        <w:tc>
          <w:tcPr>
            <w:tcW w:w="2394" w:type="dxa"/>
          </w:tcPr>
          <w:p w14:paraId="5848C62F" w14:textId="77777777" w:rsidR="005B7B7A" w:rsidRDefault="005B7B7A" w:rsidP="005B7B7A">
            <w:pPr>
              <w:rPr>
                <w:rFonts w:eastAsiaTheme="minorEastAsia"/>
              </w:rPr>
            </w:pPr>
            <w:r>
              <w:rPr>
                <w:rFonts w:eastAsiaTheme="minorEastAsia"/>
              </w:rPr>
              <w:t>Low Performance</w:t>
            </w:r>
          </w:p>
          <w:p w14:paraId="7AE7E531" w14:textId="77777777" w:rsidR="005B7B7A" w:rsidRDefault="000679A8" w:rsidP="005B7B7A">
            <w:pPr>
              <w:rPr>
                <w:rFonts w:eastAsiaTheme="minorEastAsia"/>
              </w:rPr>
            </w:pPr>
            <w:r>
              <w:rPr>
                <w:rFonts w:eastAsiaTheme="minorEastAsia"/>
                <w:noProof/>
                <w:lang w:eastAsia="en-CA"/>
              </w:rPr>
              <w:pict w14:anchorId="6DCE9902">
                <v:shape id="_x0000_s1037" type="#_x0000_t32" style="position:absolute;margin-left:100.9pt;margin-top:3.35pt;width:33.4pt;height:24.05pt;flip:x;z-index:251670528" o:connectortype="straight" strokecolor="#00b050"/>
              </w:pict>
            </w:r>
            <w:r w:rsidR="005B7B7A">
              <w:rPr>
                <w:rFonts w:eastAsiaTheme="minorEastAsia"/>
              </w:rPr>
              <w:t xml:space="preserve"> (0.70)</w:t>
            </w:r>
          </w:p>
        </w:tc>
        <w:tc>
          <w:tcPr>
            <w:tcW w:w="2394" w:type="dxa"/>
          </w:tcPr>
          <w:p w14:paraId="2D508D20" w14:textId="77777777" w:rsidR="005B7B7A" w:rsidRDefault="005B7B7A" w:rsidP="005B7B7A">
            <w:pPr>
              <w:rPr>
                <w:rFonts w:eastAsiaTheme="minorEastAsia"/>
              </w:rPr>
            </w:pPr>
            <w:r>
              <w:rPr>
                <w:rFonts w:eastAsiaTheme="minorEastAsia"/>
              </w:rPr>
              <w:t>0.10</w:t>
            </w:r>
          </w:p>
        </w:tc>
        <w:tc>
          <w:tcPr>
            <w:tcW w:w="2394" w:type="dxa"/>
          </w:tcPr>
          <w:p w14:paraId="0642D613" w14:textId="77777777" w:rsidR="005B7B7A" w:rsidRDefault="000679A8" w:rsidP="005B7B7A">
            <w:pPr>
              <w:rPr>
                <w:rFonts w:eastAsiaTheme="minorEastAsia"/>
              </w:rPr>
            </w:pPr>
            <w:r>
              <w:rPr>
                <w:rFonts w:eastAsiaTheme="minorEastAsia"/>
                <w:noProof/>
                <w:lang w:eastAsia="en-CA"/>
              </w:rPr>
              <w:pict w14:anchorId="29D0D964">
                <v:shape id="_x0000_s1029" type="#_x0000_t32" style="position:absolute;margin-left:19.65pt;margin-top:13.05pt;width:65.25pt;height:32.25pt;z-index:251661312;mso-position-horizontal-relative:text;mso-position-vertical-relative:text" o:connectortype="straight" strokecolor="red"/>
              </w:pict>
            </w:r>
            <w:r w:rsidR="005B7B7A">
              <w:rPr>
                <w:rFonts w:eastAsiaTheme="minorEastAsia"/>
              </w:rPr>
              <w:t>0.90</w:t>
            </w:r>
          </w:p>
        </w:tc>
      </w:tr>
    </w:tbl>
    <w:p w14:paraId="2D8DBF8E" w14:textId="77777777" w:rsidR="005B7B7A" w:rsidRDefault="000679A8" w:rsidP="005B7B7A">
      <w:pPr>
        <w:rPr>
          <w:rFonts w:eastAsiaTheme="minorEastAsia"/>
        </w:rPr>
      </w:pPr>
      <w:r>
        <w:rPr>
          <w:rFonts w:eastAsiaTheme="minorEastAsia"/>
          <w:noProof/>
          <w:lang w:eastAsia="en-CA"/>
        </w:rPr>
        <w:pict w14:anchorId="4C3087F3">
          <v:shape id="_x0000_s1038" type="#_x0000_t202" style="position:absolute;margin-left:101.4pt;margin-top:5.2pt;width:114.6pt;height:20.75pt;z-index:251671552;mso-position-horizontal-relative:text;mso-position-vertical-relative:text" stroked="f">
            <v:textbox>
              <w:txbxContent>
                <w:p w14:paraId="7B6C3DC1" w14:textId="77777777" w:rsidR="005C38F6" w:rsidRPr="005E10A6" w:rsidRDefault="005C38F6">
                  <w:pPr>
                    <w:rPr>
                      <w:color w:val="00B050"/>
                      <w:sz w:val="18"/>
                      <w:szCs w:val="18"/>
                    </w:rPr>
                  </w:pPr>
                  <w:r w:rsidRPr="005E10A6">
                    <w:rPr>
                      <w:color w:val="00B050"/>
                      <w:sz w:val="18"/>
                      <w:szCs w:val="18"/>
                    </w:rPr>
                    <w:t>Off-Diagonal Probabilities</w:t>
                  </w:r>
                </w:p>
              </w:txbxContent>
            </v:textbox>
          </v:shape>
        </w:pict>
      </w:r>
      <w:r>
        <w:rPr>
          <w:rFonts w:eastAsiaTheme="minorEastAsia"/>
          <w:noProof/>
          <w:lang w:val="en-US" w:eastAsia="zh-TW"/>
        </w:rPr>
        <w:pict w14:anchorId="7CDC5F13">
          <v:shape id="_x0000_s1030" type="#_x0000_t202" style="position:absolute;margin-left:456.75pt;margin-top:5.2pt;width:71.25pt;height:29.25pt;z-index:251663360;mso-position-horizontal-relative:text;mso-position-vertical-relative:text;mso-width-relative:margin;mso-height-relative:margin" stroked="f">
            <v:textbox>
              <w:txbxContent>
                <w:p w14:paraId="05FBFAA1" w14:textId="77777777" w:rsidR="005C38F6" w:rsidRPr="008A3E72" w:rsidRDefault="005C38F6">
                  <w:pPr>
                    <w:rPr>
                      <w:color w:val="FF0000"/>
                      <w:sz w:val="18"/>
                      <w:szCs w:val="18"/>
                    </w:rPr>
                  </w:pPr>
                  <w:r w:rsidRPr="008A3E72">
                    <w:rPr>
                      <w:color w:val="FF0000"/>
                      <w:sz w:val="18"/>
                      <w:szCs w:val="18"/>
                    </w:rPr>
                    <w:t xml:space="preserve">Main Diagonal Probabilities </w:t>
                  </w:r>
                </w:p>
              </w:txbxContent>
            </v:textbox>
          </v:shape>
        </w:pict>
      </w:r>
    </w:p>
    <w:p w14:paraId="31FA7537" w14:textId="77777777" w:rsidR="005B7B7A" w:rsidRDefault="005B7B7A" w:rsidP="005B7B7A">
      <w:pPr>
        <w:pStyle w:val="ListParagraph"/>
        <w:numPr>
          <w:ilvl w:val="0"/>
          <w:numId w:val="12"/>
        </w:numPr>
        <w:rPr>
          <w:rFonts w:eastAsiaTheme="minorEastAsia"/>
        </w:rPr>
      </w:pPr>
      <w:r>
        <w:rPr>
          <w:rFonts w:eastAsiaTheme="minorEastAsia"/>
        </w:rPr>
        <w:t>The investor can use Bayes’ theorem to calculate posterior state probabilities (i.e. posterior to the financial statement evidence)</w:t>
      </w:r>
    </w:p>
    <w:p w14:paraId="706F9585" w14:textId="77777777" w:rsidR="005B7B7A" w:rsidRDefault="005B7B7A" w:rsidP="005B7B7A">
      <w:pPr>
        <w:pStyle w:val="ListParagraph"/>
        <w:numPr>
          <w:ilvl w:val="0"/>
          <w:numId w:val="12"/>
        </w:numPr>
        <w:rPr>
          <w:rFonts w:eastAsiaTheme="minorEastAsia"/>
        </w:rPr>
      </w:pPr>
      <w:r>
        <w:rPr>
          <w:rFonts w:eastAsiaTheme="minorEastAsia"/>
        </w:rPr>
        <w:t>Using the new probabilities from Bayes’ theorem, calculate new utilities to decide the best action taking into consideration the new information</w:t>
      </w:r>
    </w:p>
    <w:p w14:paraId="03C807A8" w14:textId="77777777" w:rsidR="005B7B7A" w:rsidRPr="00D85957" w:rsidRDefault="00A147AE" w:rsidP="005B7B7A">
      <w:pPr>
        <w:rPr>
          <w:rFonts w:eastAsiaTheme="minorEastAsia"/>
          <w:b/>
        </w:rPr>
      </w:pPr>
      <w:r w:rsidRPr="00D85957">
        <w:rPr>
          <w:rFonts w:eastAsiaTheme="minorEastAsia"/>
          <w:b/>
        </w:rPr>
        <w:t xml:space="preserve">3.3.2 The Information System </w:t>
      </w:r>
    </w:p>
    <w:p w14:paraId="2BDA60B8" w14:textId="77777777" w:rsidR="00A147AE" w:rsidRDefault="008A3E72" w:rsidP="00A147AE">
      <w:pPr>
        <w:pStyle w:val="ListParagraph"/>
        <w:numPr>
          <w:ilvl w:val="0"/>
          <w:numId w:val="13"/>
        </w:numPr>
        <w:rPr>
          <w:rFonts w:eastAsiaTheme="minorEastAsia"/>
        </w:rPr>
      </w:pPr>
      <w:r>
        <w:rPr>
          <w:rFonts w:eastAsiaTheme="minorEastAsia"/>
        </w:rPr>
        <w:lastRenderedPageBreak/>
        <w:t>Financial statements will be useful to the extent that the good news or bad news they contain will persist into the future</w:t>
      </w:r>
    </w:p>
    <w:p w14:paraId="73BD3E85" w14:textId="77777777" w:rsidR="008A3E72" w:rsidRDefault="008A3E72" w:rsidP="008A3E72">
      <w:pPr>
        <w:pStyle w:val="ListParagraph"/>
        <w:numPr>
          <w:ilvl w:val="1"/>
          <w:numId w:val="13"/>
        </w:numPr>
        <w:rPr>
          <w:rFonts w:eastAsiaTheme="minorEastAsia"/>
        </w:rPr>
      </w:pPr>
      <w:r>
        <w:rPr>
          <w:rFonts w:eastAsiaTheme="minorEastAsia"/>
        </w:rPr>
        <w:t>Therefore financial statements can still be useful to investors even though they do not report directly on future cash flows by means of present value-based calculations</w:t>
      </w:r>
    </w:p>
    <w:p w14:paraId="3E145FB0" w14:textId="77777777" w:rsidR="008A3E72" w:rsidRDefault="008A3E72" w:rsidP="008A3E72">
      <w:pPr>
        <w:pStyle w:val="ListParagraph"/>
        <w:numPr>
          <w:ilvl w:val="0"/>
          <w:numId w:val="13"/>
        </w:numPr>
        <w:rPr>
          <w:rFonts w:eastAsiaTheme="minorEastAsia"/>
        </w:rPr>
      </w:pPr>
      <w:r>
        <w:rPr>
          <w:rFonts w:eastAsiaTheme="minorEastAsia"/>
        </w:rPr>
        <w:t xml:space="preserve">The fundamental difference between ideal and non-ideal conditions is objective state probabilities and subjective state probabilities, respectively </w:t>
      </w:r>
    </w:p>
    <w:p w14:paraId="2EA7C804" w14:textId="77777777" w:rsidR="008A3E72" w:rsidRDefault="008A3E72" w:rsidP="008A3E72">
      <w:pPr>
        <w:pStyle w:val="ListParagraph"/>
        <w:numPr>
          <w:ilvl w:val="0"/>
          <w:numId w:val="13"/>
        </w:numPr>
        <w:rPr>
          <w:rFonts w:eastAsiaTheme="minorEastAsia"/>
        </w:rPr>
      </w:pPr>
      <w:r>
        <w:rPr>
          <w:rFonts w:eastAsiaTheme="minorEastAsia"/>
        </w:rPr>
        <w:t>When state probabilities are subjective, the role of information to be useful is important</w:t>
      </w:r>
    </w:p>
    <w:p w14:paraId="75B11C90" w14:textId="77777777" w:rsidR="008A3E72" w:rsidRDefault="005E10A6" w:rsidP="008A3E72">
      <w:pPr>
        <w:pStyle w:val="ListParagraph"/>
        <w:numPr>
          <w:ilvl w:val="0"/>
          <w:numId w:val="13"/>
        </w:numPr>
        <w:rPr>
          <w:rFonts w:eastAsiaTheme="minorEastAsia"/>
        </w:rPr>
      </w:pPr>
      <w:r>
        <w:rPr>
          <w:rFonts w:eastAsiaTheme="minorEastAsia"/>
        </w:rPr>
        <w:t>An information system is a table giving, conditional on each state of nature, the objective probability of each possible financial statement evidence item</w:t>
      </w:r>
    </w:p>
    <w:p w14:paraId="26A1BBB9" w14:textId="77777777" w:rsidR="005E10A6" w:rsidRDefault="005E10A6" w:rsidP="008A3E72">
      <w:pPr>
        <w:pStyle w:val="ListParagraph"/>
        <w:numPr>
          <w:ilvl w:val="0"/>
          <w:numId w:val="13"/>
        </w:numPr>
        <w:rPr>
          <w:rFonts w:eastAsiaTheme="minorEastAsia"/>
        </w:rPr>
      </w:pPr>
      <w:r>
        <w:rPr>
          <w:rFonts w:eastAsiaTheme="minorEastAsia"/>
        </w:rPr>
        <w:t xml:space="preserve">The weakening of the relationship between current financial statement information and future firm performance is sometimes described as </w:t>
      </w:r>
      <w:r w:rsidRPr="005E10A6">
        <w:rPr>
          <w:rFonts w:eastAsiaTheme="minorEastAsia"/>
          <w:b/>
        </w:rPr>
        <w:t>noise</w:t>
      </w:r>
      <w:r>
        <w:rPr>
          <w:rFonts w:eastAsiaTheme="minorEastAsia"/>
        </w:rPr>
        <w:t xml:space="preserve"> or as </w:t>
      </w:r>
      <w:r w:rsidRPr="005E10A6">
        <w:rPr>
          <w:rFonts w:eastAsiaTheme="minorEastAsia"/>
          <w:b/>
        </w:rPr>
        <w:t>low earnings quality</w:t>
      </w:r>
      <w:r>
        <w:rPr>
          <w:rFonts w:eastAsiaTheme="minorEastAsia"/>
        </w:rPr>
        <w:t xml:space="preserve"> in the financial statements</w:t>
      </w:r>
    </w:p>
    <w:p w14:paraId="25AB61FB" w14:textId="77777777" w:rsidR="005E10A6" w:rsidRPr="005E10A6" w:rsidRDefault="005E10A6" w:rsidP="008A3E72">
      <w:pPr>
        <w:pStyle w:val="ListParagraph"/>
        <w:numPr>
          <w:ilvl w:val="0"/>
          <w:numId w:val="13"/>
        </w:numPr>
        <w:rPr>
          <w:rFonts w:eastAsiaTheme="minorEastAsia"/>
          <w:highlight w:val="yellow"/>
        </w:rPr>
      </w:pPr>
      <w:r w:rsidRPr="005E10A6">
        <w:rPr>
          <w:rFonts w:eastAsiaTheme="minorEastAsia"/>
          <w:highlight w:val="yellow"/>
        </w:rPr>
        <w:t>We know that the information system is informative if it enables the investor to update their prior probabilities to reflect new information, thereby affecting the decision</w:t>
      </w:r>
    </w:p>
    <w:p w14:paraId="3ADA8F62" w14:textId="77777777" w:rsidR="005E10A6" w:rsidRDefault="005E10A6" w:rsidP="008A3E72">
      <w:pPr>
        <w:pStyle w:val="ListParagraph"/>
        <w:numPr>
          <w:ilvl w:val="0"/>
          <w:numId w:val="13"/>
        </w:numPr>
        <w:rPr>
          <w:rFonts w:eastAsiaTheme="minorEastAsia"/>
        </w:rPr>
      </w:pPr>
      <w:r>
        <w:rPr>
          <w:rFonts w:eastAsiaTheme="minorEastAsia"/>
        </w:rPr>
        <w:t>Financial statements that are highly informative, and the information system that underlies them, are often called transparent, precise, or high quality, since they convey lots of information to investors</w:t>
      </w:r>
    </w:p>
    <w:p w14:paraId="6DBB7B17" w14:textId="77777777" w:rsidR="005E10A6" w:rsidRDefault="005E10A6" w:rsidP="008A3E72">
      <w:pPr>
        <w:pStyle w:val="ListParagraph"/>
        <w:numPr>
          <w:ilvl w:val="0"/>
          <w:numId w:val="13"/>
        </w:numPr>
        <w:rPr>
          <w:rFonts w:eastAsiaTheme="minorEastAsia"/>
        </w:rPr>
      </w:pPr>
      <w:r>
        <w:rPr>
          <w:rFonts w:eastAsiaTheme="minorEastAsia"/>
        </w:rPr>
        <w:t xml:space="preserve">* The extent of </w:t>
      </w:r>
      <w:proofErr w:type="spellStart"/>
      <w:r w:rsidRPr="0040783B">
        <w:rPr>
          <w:rFonts w:eastAsiaTheme="minorEastAsia"/>
          <w:u w:val="single"/>
        </w:rPr>
        <w:t>informativeness</w:t>
      </w:r>
      <w:proofErr w:type="spellEnd"/>
      <w:r w:rsidRPr="0040783B">
        <w:rPr>
          <w:rFonts w:eastAsiaTheme="minorEastAsia"/>
          <w:u w:val="single"/>
        </w:rPr>
        <w:t xml:space="preserve"> for investment decisions depends on the </w:t>
      </w:r>
      <w:r w:rsidRPr="0040783B">
        <w:rPr>
          <w:rFonts w:eastAsiaTheme="minorEastAsia"/>
          <w:b/>
          <w:u w:val="single"/>
        </w:rPr>
        <w:t>relevance and reliability</w:t>
      </w:r>
      <w:r w:rsidRPr="0040783B">
        <w:rPr>
          <w:rFonts w:eastAsiaTheme="minorEastAsia"/>
          <w:u w:val="single"/>
        </w:rPr>
        <w:t xml:space="preserve"> of financial statements</w:t>
      </w:r>
    </w:p>
    <w:p w14:paraId="4C6E0F0D" w14:textId="77777777" w:rsidR="005E10A6" w:rsidRDefault="005E10A6" w:rsidP="005E10A6">
      <w:pPr>
        <w:pStyle w:val="ListParagraph"/>
        <w:numPr>
          <w:ilvl w:val="1"/>
          <w:numId w:val="13"/>
        </w:numPr>
        <w:rPr>
          <w:rFonts w:eastAsiaTheme="minorEastAsia"/>
        </w:rPr>
      </w:pPr>
      <w:r>
        <w:rPr>
          <w:rFonts w:eastAsiaTheme="minorEastAsia"/>
        </w:rPr>
        <w:t>An increase in relevance</w:t>
      </w:r>
      <w:r w:rsidR="0040783B">
        <w:rPr>
          <w:rFonts w:eastAsiaTheme="minorEastAsia"/>
        </w:rPr>
        <w:t xml:space="preserve"> (i.e. switch from historical cost to current value accounting)</w:t>
      </w:r>
      <w:r>
        <w:rPr>
          <w:rFonts w:eastAsiaTheme="minorEastAsia"/>
        </w:rPr>
        <w:t xml:space="preserve"> would increase the main diagonal probabilities in the information</w:t>
      </w:r>
    </w:p>
    <w:p w14:paraId="35443C91" w14:textId="77777777" w:rsidR="005E10A6" w:rsidRDefault="005E10A6" w:rsidP="005E10A6">
      <w:pPr>
        <w:pStyle w:val="ListParagraph"/>
        <w:numPr>
          <w:ilvl w:val="1"/>
          <w:numId w:val="13"/>
        </w:numPr>
        <w:rPr>
          <w:rFonts w:eastAsiaTheme="minorEastAsia"/>
        </w:rPr>
      </w:pPr>
      <w:r>
        <w:rPr>
          <w:rFonts w:eastAsiaTheme="minorEastAsia"/>
        </w:rPr>
        <w:t>This is because increasing relevance means that it is a better predictor of future economic performance</w:t>
      </w:r>
    </w:p>
    <w:p w14:paraId="15D44E29" w14:textId="77777777" w:rsidR="005E10A6" w:rsidRDefault="0040783B" w:rsidP="0040783B">
      <w:pPr>
        <w:pStyle w:val="ListParagraph"/>
        <w:numPr>
          <w:ilvl w:val="2"/>
          <w:numId w:val="13"/>
        </w:numPr>
        <w:rPr>
          <w:rFonts w:eastAsiaTheme="minorEastAsia"/>
        </w:rPr>
      </w:pPr>
      <w:proofErr w:type="gramStart"/>
      <w:r>
        <w:rPr>
          <w:rFonts w:eastAsiaTheme="minorEastAsia"/>
        </w:rPr>
        <w:t>as</w:t>
      </w:r>
      <w:proofErr w:type="gramEnd"/>
      <w:r>
        <w:rPr>
          <w:rFonts w:eastAsiaTheme="minorEastAsia"/>
        </w:rPr>
        <w:t xml:space="preserve"> a result, main diagonal probabilities increase, off-diagonal probabilities decrease</w:t>
      </w:r>
    </w:p>
    <w:p w14:paraId="0CC73950" w14:textId="77777777" w:rsidR="0040783B" w:rsidRDefault="0040783B" w:rsidP="0040783B">
      <w:pPr>
        <w:pStyle w:val="ListParagraph"/>
        <w:numPr>
          <w:ilvl w:val="1"/>
          <w:numId w:val="13"/>
        </w:numPr>
        <w:rPr>
          <w:rFonts w:eastAsiaTheme="minorEastAsia"/>
        </w:rPr>
      </w:pPr>
      <w:r>
        <w:rPr>
          <w:rFonts w:eastAsiaTheme="minorEastAsia"/>
        </w:rPr>
        <w:t>An increase in relevance may also decrease reliability because now there is greater need for estimates, creating the possibility of error or management bias</w:t>
      </w:r>
    </w:p>
    <w:p w14:paraId="51EE714D" w14:textId="77777777" w:rsidR="0040783B" w:rsidRDefault="0040783B" w:rsidP="0040783B">
      <w:pPr>
        <w:pStyle w:val="ListParagraph"/>
        <w:numPr>
          <w:ilvl w:val="2"/>
          <w:numId w:val="13"/>
        </w:numPr>
        <w:rPr>
          <w:rFonts w:eastAsiaTheme="minorEastAsia"/>
        </w:rPr>
      </w:pPr>
      <w:r>
        <w:rPr>
          <w:rFonts w:eastAsiaTheme="minorEastAsia"/>
        </w:rPr>
        <w:t>This would decrease the main-diagonal probabilities and increase the off-diagonal probabilities</w:t>
      </w:r>
    </w:p>
    <w:p w14:paraId="437D7C80" w14:textId="77777777" w:rsidR="0040783B" w:rsidRDefault="0040783B" w:rsidP="0040783B">
      <w:pPr>
        <w:pStyle w:val="ListParagraph"/>
        <w:numPr>
          <w:ilvl w:val="1"/>
          <w:numId w:val="13"/>
        </w:numPr>
        <w:rPr>
          <w:rFonts w:eastAsiaTheme="minorEastAsia"/>
        </w:rPr>
      </w:pPr>
      <w:r>
        <w:rPr>
          <w:rFonts w:eastAsiaTheme="minorEastAsia"/>
        </w:rPr>
        <w:t>The change would ONLY INCREASE INFORMATIVENESS if the increase in relevance outweighs the decrease in reliability</w:t>
      </w:r>
    </w:p>
    <w:p w14:paraId="401E190F" w14:textId="77777777" w:rsidR="0040783B" w:rsidRDefault="0040783B" w:rsidP="0040783B">
      <w:pPr>
        <w:pStyle w:val="ListParagraph"/>
        <w:numPr>
          <w:ilvl w:val="0"/>
          <w:numId w:val="13"/>
        </w:numPr>
        <w:rPr>
          <w:rFonts w:eastAsiaTheme="minorEastAsia"/>
        </w:rPr>
      </w:pPr>
      <w:r>
        <w:rPr>
          <w:rFonts w:eastAsiaTheme="minorEastAsia"/>
        </w:rPr>
        <w:t>If it were possible to increase relevance without sacrificing reliability, the result would be to increase financial statement usefulness</w:t>
      </w:r>
    </w:p>
    <w:p w14:paraId="5DB43721" w14:textId="77777777" w:rsidR="0040783B" w:rsidRDefault="0040783B" w:rsidP="0040783B">
      <w:pPr>
        <w:pStyle w:val="ListParagraph"/>
        <w:numPr>
          <w:ilvl w:val="1"/>
          <w:numId w:val="13"/>
        </w:numPr>
        <w:rPr>
          <w:rFonts w:eastAsiaTheme="minorEastAsia"/>
        </w:rPr>
      </w:pPr>
      <w:r>
        <w:rPr>
          <w:rFonts w:eastAsiaTheme="minorEastAsia"/>
        </w:rPr>
        <w:t xml:space="preserve">Can be done by presenting supplementary current value information – this is done in </w:t>
      </w:r>
      <w:r w:rsidRPr="0040783B">
        <w:rPr>
          <w:rFonts w:eastAsiaTheme="minorEastAsia"/>
          <w:color w:val="7030A0"/>
          <w:u w:val="single"/>
        </w:rPr>
        <w:t>RRA</w:t>
      </w:r>
    </w:p>
    <w:p w14:paraId="65B3CF4B" w14:textId="77777777" w:rsidR="0040783B" w:rsidRDefault="0040783B" w:rsidP="0040783B">
      <w:pPr>
        <w:pStyle w:val="ListParagraph"/>
        <w:numPr>
          <w:ilvl w:val="2"/>
          <w:numId w:val="13"/>
        </w:numPr>
        <w:rPr>
          <w:rFonts w:eastAsiaTheme="minorEastAsia"/>
        </w:rPr>
      </w:pPr>
      <w:r>
        <w:rPr>
          <w:rFonts w:eastAsiaTheme="minorEastAsia"/>
        </w:rPr>
        <w:t>This increases relevance for investors who want to use supplementary info in their decision making process</w:t>
      </w:r>
    </w:p>
    <w:p w14:paraId="3E245613" w14:textId="77777777" w:rsidR="0040783B" w:rsidRDefault="0040783B" w:rsidP="0040783B">
      <w:pPr>
        <w:pStyle w:val="ListParagraph"/>
        <w:numPr>
          <w:ilvl w:val="2"/>
          <w:numId w:val="13"/>
        </w:numPr>
        <w:rPr>
          <w:rFonts w:eastAsiaTheme="minorEastAsia"/>
        </w:rPr>
      </w:pPr>
      <w:r>
        <w:rPr>
          <w:rFonts w:eastAsiaTheme="minorEastAsia"/>
        </w:rPr>
        <w:t>The financial statements proper are still available for those who want the greater reliability of historical cost accounting for oil and gas operations</w:t>
      </w:r>
    </w:p>
    <w:p w14:paraId="1306EAFA" w14:textId="77777777" w:rsidR="0040783B" w:rsidRDefault="0040783B" w:rsidP="0040783B">
      <w:pPr>
        <w:pStyle w:val="ListParagraph"/>
        <w:numPr>
          <w:ilvl w:val="0"/>
          <w:numId w:val="13"/>
        </w:numPr>
        <w:rPr>
          <w:rFonts w:eastAsiaTheme="minorEastAsia"/>
        </w:rPr>
      </w:pPr>
      <w:proofErr w:type="spellStart"/>
      <w:r>
        <w:rPr>
          <w:rFonts w:eastAsiaTheme="minorEastAsia"/>
        </w:rPr>
        <w:t>Informativeness</w:t>
      </w:r>
      <w:proofErr w:type="spellEnd"/>
      <w:r>
        <w:rPr>
          <w:rFonts w:eastAsiaTheme="minorEastAsia"/>
        </w:rPr>
        <w:t xml:space="preserve"> also depends on the extent to which financial reporting is conservative</w:t>
      </w:r>
    </w:p>
    <w:p w14:paraId="0B7124A8" w14:textId="77777777" w:rsidR="0040783B" w:rsidRDefault="0040783B" w:rsidP="0040783B">
      <w:pPr>
        <w:pStyle w:val="ListParagraph"/>
        <w:numPr>
          <w:ilvl w:val="1"/>
          <w:numId w:val="13"/>
        </w:numPr>
        <w:rPr>
          <w:rFonts w:eastAsiaTheme="minorEastAsia"/>
        </w:rPr>
      </w:pPr>
      <w:r>
        <w:rPr>
          <w:rFonts w:eastAsiaTheme="minorEastAsia"/>
        </w:rPr>
        <w:t>Higher standard of verification to record gains than to record losses</w:t>
      </w:r>
    </w:p>
    <w:p w14:paraId="0E97FE7A" w14:textId="77777777" w:rsidR="0040783B" w:rsidRDefault="00F03FF9" w:rsidP="0040783B">
      <w:pPr>
        <w:pStyle w:val="ListParagraph"/>
        <w:numPr>
          <w:ilvl w:val="1"/>
          <w:numId w:val="13"/>
        </w:numPr>
        <w:rPr>
          <w:rFonts w:eastAsiaTheme="minorEastAsia"/>
        </w:rPr>
      </w:pPr>
      <w:r>
        <w:rPr>
          <w:rFonts w:eastAsiaTheme="minorEastAsia"/>
        </w:rPr>
        <w:t xml:space="preserve">The information system (above) includes some </w:t>
      </w:r>
      <w:proofErr w:type="spellStart"/>
      <w:r>
        <w:rPr>
          <w:rFonts w:eastAsiaTheme="minorEastAsia"/>
        </w:rPr>
        <w:t>conservativism</w:t>
      </w:r>
      <w:proofErr w:type="spellEnd"/>
      <w:r>
        <w:rPr>
          <w:rFonts w:eastAsiaTheme="minorEastAsia"/>
        </w:rPr>
        <w:t xml:space="preserve"> because the BN/low state probability (0.90) is greater than the GN/high state (0.80)</w:t>
      </w:r>
    </w:p>
    <w:p w14:paraId="780A3FB2" w14:textId="77777777" w:rsidR="00F03FF9" w:rsidRPr="00F03FF9" w:rsidRDefault="00F03FF9" w:rsidP="00F03FF9">
      <w:pPr>
        <w:pStyle w:val="ListParagraph"/>
        <w:numPr>
          <w:ilvl w:val="0"/>
          <w:numId w:val="13"/>
        </w:numPr>
        <w:rPr>
          <w:rFonts w:eastAsiaTheme="minorEastAsia"/>
          <w:highlight w:val="yellow"/>
        </w:rPr>
      </w:pPr>
      <w:r w:rsidRPr="00F03FF9">
        <w:rPr>
          <w:rFonts w:eastAsiaTheme="minorEastAsia"/>
          <w:highlight w:val="yellow"/>
        </w:rPr>
        <w:lastRenderedPageBreak/>
        <w:t>The higher the main diagonal probabilities relative the off-main diagonal ones, the more informative the system, and the more useful the system is</w:t>
      </w:r>
    </w:p>
    <w:p w14:paraId="3C3A8467" w14:textId="77777777" w:rsidR="00F03FF9" w:rsidRDefault="00F03FF9" w:rsidP="00F03FF9">
      <w:pPr>
        <w:pStyle w:val="ListParagraph"/>
        <w:numPr>
          <w:ilvl w:val="1"/>
          <w:numId w:val="13"/>
        </w:numPr>
        <w:rPr>
          <w:rFonts w:eastAsiaTheme="minorEastAsia"/>
        </w:rPr>
      </w:pPr>
      <w:r>
        <w:rPr>
          <w:rFonts w:eastAsiaTheme="minorEastAsia"/>
        </w:rPr>
        <w:t>It enables better predictions of relevant states of nature and resulting payoffs</w:t>
      </w:r>
    </w:p>
    <w:p w14:paraId="2BF63D42" w14:textId="77777777" w:rsidR="00F03FF9" w:rsidRDefault="00F03FF9" w:rsidP="00F03FF9">
      <w:pPr>
        <w:pStyle w:val="ListParagraph"/>
        <w:numPr>
          <w:ilvl w:val="0"/>
          <w:numId w:val="13"/>
        </w:numPr>
        <w:rPr>
          <w:rFonts w:eastAsiaTheme="minorEastAsia"/>
        </w:rPr>
      </w:pPr>
      <w:r>
        <w:rPr>
          <w:rFonts w:eastAsiaTheme="minorEastAsia"/>
        </w:rPr>
        <w:t>How does the investor know what the information system probabilities are?</w:t>
      </w:r>
    </w:p>
    <w:p w14:paraId="2098DEA7" w14:textId="77777777" w:rsidR="00F03FF9" w:rsidRDefault="00F03FF9" w:rsidP="00F03FF9">
      <w:pPr>
        <w:pStyle w:val="ListParagraph"/>
        <w:numPr>
          <w:ilvl w:val="1"/>
          <w:numId w:val="13"/>
        </w:numPr>
        <w:rPr>
          <w:rFonts w:eastAsiaTheme="minorEastAsia"/>
        </w:rPr>
      </w:pPr>
      <w:r>
        <w:rPr>
          <w:rFonts w:eastAsiaTheme="minorEastAsia"/>
        </w:rPr>
        <w:t xml:space="preserve">Rational expectations – investors are assumes to quickly form accurate estimates of unknown, underlying parameters, in this case the information system probabilities </w:t>
      </w:r>
    </w:p>
    <w:p w14:paraId="23A25FB2" w14:textId="77777777" w:rsidR="00F03FF9" w:rsidRDefault="001B7DAE" w:rsidP="00F03FF9">
      <w:pPr>
        <w:pStyle w:val="ListParagraph"/>
        <w:numPr>
          <w:ilvl w:val="1"/>
          <w:numId w:val="13"/>
        </w:numPr>
        <w:rPr>
          <w:rFonts w:eastAsiaTheme="minorEastAsia"/>
        </w:rPr>
      </w:pPr>
      <w:r>
        <w:rPr>
          <w:rFonts w:eastAsiaTheme="minorEastAsia"/>
        </w:rPr>
        <w:t>One approach to forming accurate estimates is by sampling – record the number of times GN is followed by good performance or vice versa</w:t>
      </w:r>
    </w:p>
    <w:p w14:paraId="273DFDE4" w14:textId="77777777" w:rsidR="001B7DAE" w:rsidRDefault="001B7DAE" w:rsidP="001B7DAE">
      <w:pPr>
        <w:pStyle w:val="ListParagraph"/>
        <w:numPr>
          <w:ilvl w:val="0"/>
          <w:numId w:val="13"/>
        </w:numPr>
        <w:rPr>
          <w:rFonts w:eastAsiaTheme="minorEastAsia"/>
        </w:rPr>
      </w:pPr>
      <w:r>
        <w:rPr>
          <w:rFonts w:eastAsiaTheme="minorEastAsia"/>
        </w:rPr>
        <w:t>Information is evidence that has the potential to affect an individual’s decision</w:t>
      </w:r>
    </w:p>
    <w:p w14:paraId="1041DF95" w14:textId="77777777" w:rsidR="001B7DAE" w:rsidRDefault="001B7DAE" w:rsidP="001B7DAE">
      <w:pPr>
        <w:pStyle w:val="ListParagraph"/>
        <w:numPr>
          <w:ilvl w:val="1"/>
          <w:numId w:val="13"/>
        </w:numPr>
        <w:rPr>
          <w:rFonts w:eastAsiaTheme="minorEastAsia"/>
        </w:rPr>
      </w:pPr>
      <w:r>
        <w:rPr>
          <w:rFonts w:eastAsiaTheme="minorEastAsia"/>
        </w:rPr>
        <w:t>Note that an information source that is too costly is not information since it will not be used</w:t>
      </w:r>
    </w:p>
    <w:p w14:paraId="4A2B231B" w14:textId="77777777" w:rsidR="001B7DAE" w:rsidRDefault="001B7DAE" w:rsidP="001B7DAE">
      <w:pPr>
        <w:pStyle w:val="ListParagraph"/>
        <w:numPr>
          <w:ilvl w:val="1"/>
          <w:numId w:val="13"/>
        </w:numPr>
        <w:rPr>
          <w:rFonts w:eastAsiaTheme="minorEastAsia"/>
        </w:rPr>
      </w:pPr>
      <w:r>
        <w:rPr>
          <w:rFonts w:eastAsiaTheme="minorEastAsia"/>
        </w:rPr>
        <w:t>Financial statements are a cost-effective information source since they are readily available and reasonably well understood by investors</w:t>
      </w:r>
    </w:p>
    <w:p w14:paraId="73EEA3B0" w14:textId="77777777" w:rsidR="001B7DAE" w:rsidRPr="00D85957" w:rsidRDefault="001B7DAE" w:rsidP="001B7DAE">
      <w:pPr>
        <w:rPr>
          <w:rFonts w:eastAsiaTheme="minorEastAsia"/>
          <w:b/>
        </w:rPr>
      </w:pPr>
      <w:r w:rsidRPr="00D85957">
        <w:rPr>
          <w:rFonts w:eastAsiaTheme="minorEastAsia"/>
          <w:b/>
        </w:rPr>
        <w:t>3.4 The Rational, Risk-Averse Investor</w:t>
      </w:r>
    </w:p>
    <w:p w14:paraId="250A91D2" w14:textId="77777777" w:rsidR="001B7DAE" w:rsidRDefault="001B7DAE" w:rsidP="001B7DAE">
      <w:pPr>
        <w:pStyle w:val="ListParagraph"/>
        <w:numPr>
          <w:ilvl w:val="0"/>
          <w:numId w:val="14"/>
        </w:numPr>
        <w:rPr>
          <w:rFonts w:eastAsiaTheme="minorEastAsia"/>
        </w:rPr>
      </w:pPr>
      <w:r>
        <w:rPr>
          <w:rFonts w:eastAsiaTheme="minorEastAsia"/>
        </w:rPr>
        <w:t>In decision theory, the concept of a rational individual simply means that in making decisions, the chosen act is the one that yields the highest expected utility</w:t>
      </w:r>
    </w:p>
    <w:p w14:paraId="2188FAEF" w14:textId="77777777" w:rsidR="001B7DAE" w:rsidRDefault="00077DD0" w:rsidP="001B7DAE">
      <w:pPr>
        <w:pStyle w:val="ListParagraph"/>
        <w:numPr>
          <w:ilvl w:val="0"/>
          <w:numId w:val="14"/>
        </w:numPr>
        <w:rPr>
          <w:rFonts w:eastAsiaTheme="minorEastAsia"/>
        </w:rPr>
      </w:pPr>
      <w:r>
        <w:rPr>
          <w:rFonts w:eastAsiaTheme="minorEastAsia"/>
        </w:rPr>
        <w:t>This model of decision making theory considers the average behaviour of investors, not all</w:t>
      </w:r>
    </w:p>
    <w:p w14:paraId="1F0F6DE8" w14:textId="77777777" w:rsidR="00077DD0" w:rsidRDefault="00077DD0" w:rsidP="001B7DAE">
      <w:pPr>
        <w:pStyle w:val="ListParagraph"/>
        <w:numPr>
          <w:ilvl w:val="0"/>
          <w:numId w:val="14"/>
        </w:numPr>
        <w:rPr>
          <w:rFonts w:eastAsiaTheme="minorEastAsia"/>
        </w:rPr>
      </w:pPr>
      <w:r>
        <w:rPr>
          <w:rFonts w:eastAsiaTheme="minorEastAsia"/>
        </w:rPr>
        <w:t xml:space="preserve">Assumed that rational investors are </w:t>
      </w:r>
      <w:r w:rsidRPr="00077DD0">
        <w:rPr>
          <w:rFonts w:eastAsiaTheme="minorEastAsia"/>
          <w:b/>
        </w:rPr>
        <w:t>risk-averse</w:t>
      </w:r>
    </w:p>
    <w:p w14:paraId="2DF810E9" w14:textId="77777777" w:rsidR="00077DD0" w:rsidRDefault="00077DD0" w:rsidP="00077DD0">
      <w:pPr>
        <w:pStyle w:val="ListParagraph"/>
        <w:numPr>
          <w:ilvl w:val="1"/>
          <w:numId w:val="14"/>
        </w:numPr>
        <w:rPr>
          <w:rFonts w:eastAsiaTheme="minorEastAsia"/>
        </w:rPr>
      </w:pPr>
      <w:r>
        <w:rPr>
          <w:rFonts w:eastAsiaTheme="minorEastAsia"/>
        </w:rPr>
        <w:t>Risk-averse individuals trade-off expected return and risk</w:t>
      </w:r>
    </w:p>
    <w:p w14:paraId="20AD73E4" w14:textId="77777777" w:rsidR="00077DD0" w:rsidRDefault="00077DD0" w:rsidP="00077DD0">
      <w:pPr>
        <w:pStyle w:val="ListParagraph"/>
        <w:numPr>
          <w:ilvl w:val="1"/>
          <w:numId w:val="14"/>
        </w:numPr>
        <w:rPr>
          <w:rFonts w:eastAsiaTheme="minorEastAsia"/>
        </w:rPr>
      </w:pPr>
      <w:r>
        <w:rPr>
          <w:rFonts w:eastAsiaTheme="minorEastAsia"/>
        </w:rPr>
        <w:t>A reduction in risk raises expected utility, even if the payoff has not changed</w:t>
      </w:r>
    </w:p>
    <w:p w14:paraId="3943C2FA" w14:textId="77777777" w:rsidR="00077DD0" w:rsidRDefault="00077DD0" w:rsidP="00077DD0">
      <w:pPr>
        <w:pStyle w:val="ListParagraph"/>
        <w:numPr>
          <w:ilvl w:val="0"/>
          <w:numId w:val="14"/>
        </w:numPr>
        <w:rPr>
          <w:rFonts w:eastAsiaTheme="minorEastAsia"/>
        </w:rPr>
      </w:pPr>
      <w:r>
        <w:rPr>
          <w:rFonts w:eastAsiaTheme="minorEastAsia"/>
        </w:rPr>
        <w:t xml:space="preserve">Sometimes we assume that decision makers are </w:t>
      </w:r>
      <w:r w:rsidRPr="00077DD0">
        <w:rPr>
          <w:rFonts w:eastAsiaTheme="minorEastAsia"/>
          <w:b/>
        </w:rPr>
        <w:t>risk neutral</w:t>
      </w:r>
    </w:p>
    <w:p w14:paraId="779BBFCB" w14:textId="77777777" w:rsidR="00077DD0" w:rsidRDefault="00077DD0" w:rsidP="00077DD0">
      <w:pPr>
        <w:pStyle w:val="ListParagraph"/>
        <w:numPr>
          <w:ilvl w:val="1"/>
          <w:numId w:val="14"/>
        </w:numPr>
        <w:rPr>
          <w:rFonts w:eastAsiaTheme="minorEastAsia"/>
        </w:rPr>
      </w:pPr>
      <w:r>
        <w:rPr>
          <w:rFonts w:eastAsiaTheme="minorEastAsia"/>
        </w:rPr>
        <w:t>These investors would evaluate risky investments strictly in terms of the expected payoff – risk itself does not matter per se</w:t>
      </w:r>
    </w:p>
    <w:p w14:paraId="2D19B9D2" w14:textId="77777777" w:rsidR="00077DD0" w:rsidRDefault="00077DD0" w:rsidP="00077DD0">
      <w:pPr>
        <w:pStyle w:val="ListParagraph"/>
        <w:numPr>
          <w:ilvl w:val="0"/>
          <w:numId w:val="14"/>
        </w:numPr>
        <w:rPr>
          <w:rFonts w:eastAsiaTheme="minorEastAsia"/>
          <w:highlight w:val="yellow"/>
        </w:rPr>
      </w:pPr>
      <w:r w:rsidRPr="00D85957">
        <w:rPr>
          <w:rFonts w:eastAsiaTheme="minorEastAsia"/>
          <w:highlight w:val="yellow"/>
        </w:rPr>
        <w:t>Risk aversio</w:t>
      </w:r>
      <w:r w:rsidR="00D85957" w:rsidRPr="00D85957">
        <w:rPr>
          <w:rFonts w:eastAsiaTheme="minorEastAsia"/>
          <w:highlight w:val="yellow"/>
        </w:rPr>
        <w:t>n is important to accountants becau</w:t>
      </w:r>
      <w:r w:rsidRPr="00D85957">
        <w:rPr>
          <w:rFonts w:eastAsiaTheme="minorEastAsia"/>
          <w:highlight w:val="yellow"/>
        </w:rPr>
        <w:t>se it means investors need information concerning the risk, as well as the expected value, of future returns</w:t>
      </w:r>
    </w:p>
    <w:p w14:paraId="4EFA767E" w14:textId="77777777" w:rsidR="00D85957" w:rsidRDefault="00423BF2" w:rsidP="00D85957">
      <w:pPr>
        <w:rPr>
          <w:rFonts w:eastAsiaTheme="minorEastAsia"/>
        </w:rPr>
      </w:pPr>
      <w:r w:rsidRPr="00423BF2">
        <w:rPr>
          <w:rFonts w:eastAsiaTheme="minorEastAsia"/>
        </w:rPr>
        <w:t>3.8</w:t>
      </w:r>
      <w:r>
        <w:rPr>
          <w:rFonts w:eastAsiaTheme="minorEastAsia"/>
        </w:rPr>
        <w:t xml:space="preserve"> The Reaction of Professional Accounting Bodies to the Decision Usefulness Approach</w:t>
      </w:r>
    </w:p>
    <w:p w14:paraId="79A0AB5E" w14:textId="77777777" w:rsidR="00423BF2" w:rsidRDefault="00423BF2" w:rsidP="00423BF2">
      <w:pPr>
        <w:pStyle w:val="ListParagraph"/>
        <w:numPr>
          <w:ilvl w:val="0"/>
          <w:numId w:val="15"/>
        </w:numPr>
        <w:rPr>
          <w:rFonts w:eastAsiaTheme="minorEastAsia"/>
        </w:rPr>
      </w:pPr>
      <w:r>
        <w:rPr>
          <w:rFonts w:eastAsiaTheme="minorEastAsia"/>
        </w:rPr>
        <w:t>IASB/FASB Conceptual Framework has adopted decision usefulness approach</w:t>
      </w:r>
    </w:p>
    <w:p w14:paraId="23DB2F0F" w14:textId="77777777" w:rsidR="00423BF2" w:rsidRDefault="00423BF2" w:rsidP="00423BF2">
      <w:pPr>
        <w:pStyle w:val="ListParagraph"/>
        <w:numPr>
          <w:ilvl w:val="1"/>
          <w:numId w:val="15"/>
        </w:numPr>
        <w:rPr>
          <w:rFonts w:eastAsiaTheme="minorEastAsia"/>
        </w:rPr>
      </w:pPr>
      <w:r>
        <w:rPr>
          <w:rFonts w:eastAsiaTheme="minorEastAsia"/>
        </w:rPr>
        <w:t>The objective of financial statements is to provide financial information that is useful to present and potential equity investors, lenders, and other creditors in making decisions in their capacity as capital providers</w:t>
      </w:r>
    </w:p>
    <w:p w14:paraId="2AA91A4F" w14:textId="77777777" w:rsidR="00423BF2" w:rsidRDefault="00423BF2" w:rsidP="00423BF2">
      <w:pPr>
        <w:pStyle w:val="ListParagraph"/>
        <w:numPr>
          <w:ilvl w:val="0"/>
          <w:numId w:val="15"/>
        </w:numPr>
        <w:rPr>
          <w:rFonts w:eastAsiaTheme="minorEastAsia"/>
        </w:rPr>
      </w:pPr>
      <w:r>
        <w:rPr>
          <w:rFonts w:eastAsiaTheme="minorEastAsia"/>
        </w:rPr>
        <w:t>The constituencies (investors, lenders, creditors) are referred to in the Framework as the primary user group</w:t>
      </w:r>
    </w:p>
    <w:p w14:paraId="34630398" w14:textId="77777777" w:rsidR="00423BF2" w:rsidRDefault="00423BF2" w:rsidP="00423BF2">
      <w:pPr>
        <w:pStyle w:val="ListParagraph"/>
        <w:numPr>
          <w:ilvl w:val="0"/>
          <w:numId w:val="15"/>
        </w:numPr>
        <w:rPr>
          <w:rFonts w:eastAsiaTheme="minorEastAsia"/>
        </w:rPr>
      </w:pPr>
      <w:r>
        <w:rPr>
          <w:rFonts w:eastAsiaTheme="minorEastAsia"/>
        </w:rPr>
        <w:t>What types of information do capital providers need?</w:t>
      </w:r>
    </w:p>
    <w:p w14:paraId="558DAF37" w14:textId="77777777" w:rsidR="00423BF2" w:rsidRDefault="00423BF2" w:rsidP="00423BF2">
      <w:pPr>
        <w:pStyle w:val="ListParagraph"/>
        <w:numPr>
          <w:ilvl w:val="1"/>
          <w:numId w:val="15"/>
        </w:numPr>
        <w:rPr>
          <w:rFonts w:eastAsiaTheme="minorEastAsia"/>
        </w:rPr>
      </w:pPr>
      <w:r>
        <w:rPr>
          <w:rFonts w:eastAsiaTheme="minorEastAsia"/>
        </w:rPr>
        <w:t>Information about the amount, timing, and uncertainty of the firm’s future cash flows</w:t>
      </w:r>
    </w:p>
    <w:p w14:paraId="3787B862" w14:textId="77777777" w:rsidR="00423BF2" w:rsidRDefault="00423BF2" w:rsidP="00423BF2">
      <w:pPr>
        <w:pStyle w:val="ListParagraph"/>
        <w:numPr>
          <w:ilvl w:val="1"/>
          <w:numId w:val="15"/>
        </w:numPr>
        <w:rPr>
          <w:rFonts w:eastAsiaTheme="minorEastAsia"/>
        </w:rPr>
      </w:pPr>
      <w:r>
        <w:rPr>
          <w:rFonts w:eastAsiaTheme="minorEastAsia"/>
        </w:rPr>
        <w:t>In particular, the reference to uncertainty implies that investors are assumed to be risk averse – if they were risk neutral, they would not care about uncertainty</w:t>
      </w:r>
    </w:p>
    <w:p w14:paraId="6CB9548D" w14:textId="77777777" w:rsidR="00423BF2" w:rsidRDefault="00423BF2" w:rsidP="00423BF2">
      <w:pPr>
        <w:pStyle w:val="ListParagraph"/>
        <w:numPr>
          <w:ilvl w:val="1"/>
          <w:numId w:val="15"/>
        </w:numPr>
        <w:rPr>
          <w:rFonts w:eastAsiaTheme="minorEastAsia"/>
        </w:rPr>
      </w:pPr>
      <w:r>
        <w:rPr>
          <w:rFonts w:eastAsiaTheme="minorEastAsia"/>
        </w:rPr>
        <w:t>Information about FUTURE pay-offs from investments (future-oriented information)</w:t>
      </w:r>
    </w:p>
    <w:p w14:paraId="1CED93F8" w14:textId="77777777" w:rsidR="00423BF2" w:rsidRDefault="00423BF2" w:rsidP="00423BF2">
      <w:pPr>
        <w:pStyle w:val="ListParagraph"/>
        <w:numPr>
          <w:ilvl w:val="2"/>
          <w:numId w:val="15"/>
        </w:numPr>
        <w:rPr>
          <w:rFonts w:eastAsiaTheme="minorEastAsia"/>
        </w:rPr>
      </w:pPr>
      <w:r>
        <w:rPr>
          <w:rFonts w:eastAsiaTheme="minorEastAsia"/>
        </w:rPr>
        <w:t>Information that helps them assess the expected returns and risk of their investment</w:t>
      </w:r>
    </w:p>
    <w:p w14:paraId="6152568D" w14:textId="77777777" w:rsidR="00423BF2" w:rsidRDefault="00423BF2" w:rsidP="00423BF2">
      <w:pPr>
        <w:pStyle w:val="ListParagraph"/>
        <w:numPr>
          <w:ilvl w:val="0"/>
          <w:numId w:val="15"/>
        </w:numPr>
        <w:rPr>
          <w:rFonts w:eastAsiaTheme="minorEastAsia"/>
        </w:rPr>
      </w:pPr>
      <w:r>
        <w:rPr>
          <w:rFonts w:eastAsiaTheme="minorEastAsia"/>
        </w:rPr>
        <w:lastRenderedPageBreak/>
        <w:t>The information system provides the linkage between current and past firm performance and future prospects</w:t>
      </w:r>
    </w:p>
    <w:p w14:paraId="2ECF47AD" w14:textId="77777777" w:rsidR="00423BF2" w:rsidRDefault="00423BF2" w:rsidP="00423BF2">
      <w:pPr>
        <w:pStyle w:val="ListParagraph"/>
        <w:numPr>
          <w:ilvl w:val="1"/>
          <w:numId w:val="15"/>
        </w:numPr>
        <w:rPr>
          <w:rFonts w:eastAsiaTheme="minorEastAsia"/>
        </w:rPr>
      </w:pPr>
      <w:r>
        <w:rPr>
          <w:rFonts w:eastAsiaTheme="minorEastAsia"/>
        </w:rPr>
        <w:t xml:space="preserve">A probabilistic relationship between current financial statement info (GN/BN) and the future-oriented states of nature (high or low performance) that will determine future investment payoffs </w:t>
      </w:r>
    </w:p>
    <w:p w14:paraId="60FD7344" w14:textId="77777777" w:rsidR="00423BF2" w:rsidRDefault="00D563A1" w:rsidP="00D563A1">
      <w:pPr>
        <w:pStyle w:val="ListParagraph"/>
        <w:numPr>
          <w:ilvl w:val="0"/>
          <w:numId w:val="15"/>
        </w:numPr>
        <w:rPr>
          <w:rFonts w:eastAsiaTheme="minorEastAsia"/>
        </w:rPr>
      </w:pPr>
      <w:r>
        <w:rPr>
          <w:rFonts w:eastAsiaTheme="minorEastAsia"/>
        </w:rPr>
        <w:t xml:space="preserve">How can financial statement information be presented so as to be useful for investor </w:t>
      </w:r>
      <w:proofErr w:type="gramStart"/>
      <w:r>
        <w:rPr>
          <w:rFonts w:eastAsiaTheme="minorEastAsia"/>
        </w:rPr>
        <w:t>decision making</w:t>
      </w:r>
      <w:proofErr w:type="gramEnd"/>
      <w:r>
        <w:rPr>
          <w:rFonts w:eastAsiaTheme="minorEastAsia"/>
        </w:rPr>
        <w:t>?</w:t>
      </w:r>
    </w:p>
    <w:p w14:paraId="763BD31D" w14:textId="77777777" w:rsidR="00D563A1" w:rsidRDefault="00D563A1" w:rsidP="00D563A1">
      <w:pPr>
        <w:pStyle w:val="ListParagraph"/>
        <w:numPr>
          <w:ilvl w:val="1"/>
          <w:numId w:val="15"/>
        </w:numPr>
        <w:rPr>
          <w:rFonts w:eastAsiaTheme="minorEastAsia"/>
        </w:rPr>
      </w:pPr>
      <w:r>
        <w:rPr>
          <w:rFonts w:eastAsiaTheme="minorEastAsia"/>
        </w:rPr>
        <w:t xml:space="preserve">The answer lies in the concepts of relevance and reliability </w:t>
      </w:r>
    </w:p>
    <w:p w14:paraId="701EF073" w14:textId="77777777" w:rsidR="00D563A1" w:rsidRPr="00D563A1" w:rsidRDefault="00D563A1" w:rsidP="00D563A1">
      <w:pPr>
        <w:pStyle w:val="ListParagraph"/>
        <w:numPr>
          <w:ilvl w:val="0"/>
          <w:numId w:val="15"/>
        </w:numPr>
        <w:rPr>
          <w:rFonts w:eastAsiaTheme="minorEastAsia"/>
          <w:highlight w:val="yellow"/>
        </w:rPr>
      </w:pPr>
      <w:r w:rsidRPr="00D563A1">
        <w:rPr>
          <w:rFonts w:eastAsiaTheme="minorEastAsia"/>
          <w:highlight w:val="yellow"/>
        </w:rPr>
        <w:t>Under Ideal Conditions relevant information consists of the discounted present values of expected future payoffs</w:t>
      </w:r>
    </w:p>
    <w:p w14:paraId="6DFB61C9" w14:textId="77777777" w:rsidR="00D563A1" w:rsidRPr="00D563A1" w:rsidRDefault="00D563A1" w:rsidP="00D563A1">
      <w:pPr>
        <w:pStyle w:val="ListParagraph"/>
        <w:numPr>
          <w:ilvl w:val="0"/>
          <w:numId w:val="15"/>
        </w:numPr>
        <w:rPr>
          <w:rFonts w:eastAsiaTheme="minorEastAsia"/>
          <w:highlight w:val="yellow"/>
        </w:rPr>
      </w:pPr>
      <w:r w:rsidRPr="00D563A1">
        <w:rPr>
          <w:rFonts w:eastAsiaTheme="minorEastAsia"/>
          <w:highlight w:val="yellow"/>
        </w:rPr>
        <w:t>Under less-than-ideal conditions, relevant financial statement information consists of information that helps investors form their own expectations of future payoffs</w:t>
      </w:r>
    </w:p>
    <w:p w14:paraId="5FE35F84" w14:textId="77777777" w:rsidR="00D563A1" w:rsidRDefault="00D563A1" w:rsidP="00D563A1">
      <w:pPr>
        <w:pStyle w:val="ListParagraph"/>
        <w:numPr>
          <w:ilvl w:val="0"/>
          <w:numId w:val="15"/>
        </w:numPr>
        <w:rPr>
          <w:rFonts w:eastAsiaTheme="minorEastAsia"/>
          <w:i/>
        </w:rPr>
      </w:pPr>
      <w:r w:rsidRPr="00D563A1">
        <w:rPr>
          <w:rFonts w:eastAsiaTheme="minorEastAsia"/>
          <w:i/>
        </w:rPr>
        <w:t>In essence, accounting information should provide an informative information system that links current financial statements with future state realizations and payoffs. To be useful for investment decision purposes, the information</w:t>
      </w:r>
      <w:r>
        <w:rPr>
          <w:rFonts w:eastAsiaTheme="minorEastAsia"/>
          <w:i/>
        </w:rPr>
        <w:t xml:space="preserve"> does not need to report directly to future investment payoffs, but</w:t>
      </w:r>
      <w:r w:rsidRPr="00D563A1">
        <w:rPr>
          <w:rFonts w:eastAsiaTheme="minorEastAsia"/>
          <w:i/>
        </w:rPr>
        <w:t xml:space="preserve"> should be relevant and reliable so as to help investors form their own predictions of these payoffs</w:t>
      </w:r>
    </w:p>
    <w:p w14:paraId="30D442C4" w14:textId="77777777" w:rsidR="00D563A1" w:rsidRDefault="00D563A1">
      <w:pPr>
        <w:rPr>
          <w:rFonts w:eastAsiaTheme="minorEastAsia"/>
          <w:i/>
        </w:rPr>
      </w:pPr>
      <w:r>
        <w:rPr>
          <w:rFonts w:eastAsiaTheme="minorEastAsia"/>
          <w:i/>
        </w:rPr>
        <w:br w:type="page"/>
      </w:r>
    </w:p>
    <w:p w14:paraId="5A121DB0" w14:textId="77777777" w:rsidR="00D563A1" w:rsidRPr="00981A23" w:rsidRDefault="00D563A1" w:rsidP="00D563A1">
      <w:pPr>
        <w:rPr>
          <w:rFonts w:eastAsiaTheme="minorEastAsia"/>
          <w:b/>
          <w:sz w:val="28"/>
          <w:szCs w:val="28"/>
          <w:u w:val="single"/>
        </w:rPr>
      </w:pPr>
      <w:r w:rsidRPr="00981A23">
        <w:rPr>
          <w:rFonts w:eastAsiaTheme="minorEastAsia"/>
          <w:b/>
          <w:sz w:val="28"/>
          <w:szCs w:val="28"/>
          <w:u w:val="single"/>
        </w:rPr>
        <w:lastRenderedPageBreak/>
        <w:t xml:space="preserve">Chapter 4: </w:t>
      </w:r>
      <w:r w:rsidR="00514905" w:rsidRPr="00981A23">
        <w:rPr>
          <w:rFonts w:eastAsiaTheme="minorEastAsia"/>
          <w:b/>
          <w:sz w:val="28"/>
          <w:szCs w:val="28"/>
          <w:u w:val="single"/>
        </w:rPr>
        <w:t>Efficient Securities Markets</w:t>
      </w:r>
    </w:p>
    <w:p w14:paraId="0409C388" w14:textId="77777777" w:rsidR="00514905" w:rsidRDefault="00514905" w:rsidP="00514905">
      <w:pPr>
        <w:pStyle w:val="ListParagraph"/>
        <w:numPr>
          <w:ilvl w:val="0"/>
          <w:numId w:val="16"/>
        </w:numPr>
        <w:rPr>
          <w:rFonts w:eastAsiaTheme="minorEastAsia"/>
        </w:rPr>
      </w:pPr>
      <w:r>
        <w:rPr>
          <w:rFonts w:eastAsiaTheme="minorEastAsia"/>
        </w:rPr>
        <w:t>The theory of efficient securities markets predicts that security prices “fully reflect” the collective knowledge and information-processing expertise of investors</w:t>
      </w:r>
    </w:p>
    <w:p w14:paraId="059EDCAD" w14:textId="77777777" w:rsidR="00514905" w:rsidRDefault="00514905" w:rsidP="00514905">
      <w:pPr>
        <w:pStyle w:val="ListParagraph"/>
        <w:numPr>
          <w:ilvl w:val="0"/>
          <w:numId w:val="16"/>
        </w:numPr>
        <w:rPr>
          <w:rFonts w:eastAsiaTheme="minorEastAsia"/>
        </w:rPr>
      </w:pPr>
      <w:r>
        <w:rPr>
          <w:rFonts w:eastAsiaTheme="minorEastAsia"/>
        </w:rPr>
        <w:t>Securities market efficiency leads directly to the concept of full disclosure</w:t>
      </w:r>
    </w:p>
    <w:p w14:paraId="3A848907" w14:textId="77777777" w:rsidR="00514905" w:rsidRDefault="00514905" w:rsidP="00514905">
      <w:pPr>
        <w:pStyle w:val="ListParagraph"/>
        <w:numPr>
          <w:ilvl w:val="1"/>
          <w:numId w:val="16"/>
        </w:numPr>
        <w:rPr>
          <w:rFonts w:eastAsiaTheme="minorEastAsia"/>
        </w:rPr>
      </w:pPr>
      <w:r>
        <w:rPr>
          <w:rFonts w:eastAsiaTheme="minorEastAsia"/>
        </w:rPr>
        <w:t>Efficiency implies that it is the information content of disclosure, not the form of disclosure itself, that is valued by the market</w:t>
      </w:r>
    </w:p>
    <w:p w14:paraId="0989A385" w14:textId="77777777" w:rsidR="00514905" w:rsidRDefault="00514905" w:rsidP="00514905">
      <w:pPr>
        <w:pStyle w:val="ListParagraph"/>
        <w:numPr>
          <w:ilvl w:val="0"/>
          <w:numId w:val="16"/>
        </w:numPr>
        <w:rPr>
          <w:rFonts w:eastAsiaTheme="minorEastAsia"/>
        </w:rPr>
      </w:pPr>
      <w:r>
        <w:rPr>
          <w:rFonts w:eastAsiaTheme="minorEastAsia"/>
        </w:rPr>
        <w:t>Efficient securities market theory arguments:</w:t>
      </w:r>
    </w:p>
    <w:p w14:paraId="0052CDDB" w14:textId="77777777" w:rsidR="00514905" w:rsidRDefault="00514905" w:rsidP="00514905">
      <w:pPr>
        <w:pStyle w:val="ListParagraph"/>
        <w:numPr>
          <w:ilvl w:val="1"/>
          <w:numId w:val="16"/>
        </w:numPr>
        <w:rPr>
          <w:rFonts w:eastAsiaTheme="minorEastAsia"/>
        </w:rPr>
      </w:pPr>
      <w:r>
        <w:rPr>
          <w:rFonts w:eastAsiaTheme="minorEastAsia"/>
        </w:rPr>
        <w:t>Accounting is viewed as being in competition with other information sources (such as news media, financial analysts, and even the market price itself)</w:t>
      </w:r>
    </w:p>
    <w:p w14:paraId="03B0084E" w14:textId="77777777" w:rsidR="00514905" w:rsidRDefault="00514905" w:rsidP="00514905">
      <w:pPr>
        <w:pStyle w:val="ListParagraph"/>
        <w:numPr>
          <w:ilvl w:val="1"/>
          <w:numId w:val="16"/>
        </w:numPr>
        <w:rPr>
          <w:rFonts w:eastAsiaTheme="minorEastAsia"/>
        </w:rPr>
      </w:pPr>
      <w:r>
        <w:rPr>
          <w:rFonts w:eastAsiaTheme="minorEastAsia"/>
        </w:rPr>
        <w:t>Accounting will survive only if it is relevant, reliable, timely, and cost-effective relative to other sources</w:t>
      </w:r>
    </w:p>
    <w:p w14:paraId="133B3F3A" w14:textId="77777777" w:rsidR="00514905" w:rsidRDefault="00514905" w:rsidP="00514905">
      <w:pPr>
        <w:pStyle w:val="ListParagraph"/>
        <w:numPr>
          <w:ilvl w:val="1"/>
          <w:numId w:val="16"/>
        </w:numPr>
        <w:rPr>
          <w:rFonts w:eastAsiaTheme="minorEastAsia"/>
        </w:rPr>
      </w:pPr>
      <w:r>
        <w:rPr>
          <w:rFonts w:eastAsiaTheme="minorEastAsia"/>
        </w:rPr>
        <w:t>Primary reason for accounting is due to information asymmetry</w:t>
      </w:r>
    </w:p>
    <w:p w14:paraId="62F56055" w14:textId="77777777" w:rsidR="00514905" w:rsidRDefault="00514905" w:rsidP="00514905">
      <w:pPr>
        <w:pStyle w:val="ListParagraph"/>
        <w:numPr>
          <w:ilvl w:val="2"/>
          <w:numId w:val="16"/>
        </w:numPr>
        <w:rPr>
          <w:rFonts w:eastAsiaTheme="minorEastAsia"/>
        </w:rPr>
      </w:pPr>
      <w:r>
        <w:rPr>
          <w:rFonts w:eastAsiaTheme="minorEastAsia"/>
        </w:rPr>
        <w:t>Accounting provides a mechanism whereby those better informed can communicate their information to others and those with information disadvantage can protect themselves from possible exploitation by the better informed</w:t>
      </w:r>
    </w:p>
    <w:p w14:paraId="7A7D82BE" w14:textId="77777777" w:rsidR="00514905" w:rsidRDefault="00514905" w:rsidP="00514905">
      <w:pPr>
        <w:pStyle w:val="ListParagraph"/>
        <w:numPr>
          <w:ilvl w:val="0"/>
          <w:numId w:val="16"/>
        </w:numPr>
        <w:rPr>
          <w:rFonts w:eastAsiaTheme="minorEastAsia"/>
        </w:rPr>
      </w:pPr>
      <w:r>
        <w:rPr>
          <w:rFonts w:eastAsiaTheme="minorEastAsia"/>
        </w:rPr>
        <w:t>Conclusion:</w:t>
      </w:r>
    </w:p>
    <w:p w14:paraId="3C0D9DB9" w14:textId="77777777" w:rsidR="00514905" w:rsidRDefault="00514905" w:rsidP="00514905">
      <w:pPr>
        <w:pStyle w:val="ListParagraph"/>
        <w:numPr>
          <w:ilvl w:val="1"/>
          <w:numId w:val="16"/>
        </w:numPr>
        <w:rPr>
          <w:rFonts w:eastAsiaTheme="minorEastAsia"/>
        </w:rPr>
      </w:pPr>
      <w:r>
        <w:rPr>
          <w:rFonts w:eastAsiaTheme="minorEastAsia"/>
        </w:rPr>
        <w:t>While actual securities markets are not fully efficient, they are close enough most of the time that accountants can be guided by efficient implications and the ration decision theory underlying them</w:t>
      </w:r>
    </w:p>
    <w:p w14:paraId="71688EDB" w14:textId="77777777" w:rsidR="0017589C" w:rsidRDefault="00514905" w:rsidP="00514905">
      <w:pPr>
        <w:pStyle w:val="ListParagraph"/>
        <w:numPr>
          <w:ilvl w:val="1"/>
          <w:numId w:val="16"/>
        </w:numPr>
        <w:rPr>
          <w:rFonts w:eastAsiaTheme="minorEastAsia"/>
        </w:rPr>
      </w:pPr>
      <w:r>
        <w:rPr>
          <w:rFonts w:eastAsiaTheme="minorEastAsia"/>
        </w:rPr>
        <w:t>To the extent securities markets are not fully efficient, this further increases the important of financial reporting</w:t>
      </w:r>
    </w:p>
    <w:p w14:paraId="533D60CB" w14:textId="77777777" w:rsidR="0017589C" w:rsidRPr="0018751F" w:rsidRDefault="0017589C" w:rsidP="0017589C">
      <w:pPr>
        <w:rPr>
          <w:rFonts w:eastAsiaTheme="minorEastAsia"/>
          <w:b/>
        </w:rPr>
      </w:pPr>
      <w:r w:rsidRPr="0018751F">
        <w:rPr>
          <w:rFonts w:eastAsiaTheme="minorEastAsia"/>
          <w:b/>
        </w:rPr>
        <w:t>4.2.1 The Meaning of Efficiency</w:t>
      </w:r>
    </w:p>
    <w:p w14:paraId="74B721B0" w14:textId="77777777" w:rsidR="00514905" w:rsidRDefault="0017589C" w:rsidP="0017589C">
      <w:pPr>
        <w:pStyle w:val="ListParagraph"/>
        <w:numPr>
          <w:ilvl w:val="0"/>
          <w:numId w:val="17"/>
        </w:numPr>
        <w:rPr>
          <w:rFonts w:eastAsiaTheme="minorEastAsia"/>
        </w:rPr>
      </w:pPr>
      <w:r>
        <w:rPr>
          <w:rFonts w:eastAsiaTheme="minorEastAsia"/>
        </w:rPr>
        <w:t>Under ideal conditions, information is free since state realization is publically observable</w:t>
      </w:r>
    </w:p>
    <w:p w14:paraId="309443E4" w14:textId="77777777" w:rsidR="0017589C" w:rsidRDefault="0017589C" w:rsidP="0017589C">
      <w:pPr>
        <w:pStyle w:val="ListParagraph"/>
        <w:numPr>
          <w:ilvl w:val="0"/>
          <w:numId w:val="17"/>
        </w:numPr>
        <w:rPr>
          <w:rFonts w:eastAsiaTheme="minorEastAsia"/>
        </w:rPr>
      </w:pPr>
      <w:r>
        <w:rPr>
          <w:rFonts w:eastAsiaTheme="minorEastAsia"/>
        </w:rPr>
        <w:t>Under less-than-ideal conditions, information is not free and investors have to decide how much accounting expertise and information to acquire, and then to form their own subjective estimates of firm’s future performance – these estimates will need revision as new information comes along</w:t>
      </w:r>
    </w:p>
    <w:p w14:paraId="42FD4B7C" w14:textId="77777777" w:rsidR="0017589C" w:rsidRDefault="0017589C" w:rsidP="0017589C">
      <w:pPr>
        <w:pStyle w:val="ListParagraph"/>
        <w:numPr>
          <w:ilvl w:val="1"/>
          <w:numId w:val="17"/>
        </w:numPr>
        <w:rPr>
          <w:rFonts w:eastAsiaTheme="minorEastAsia"/>
        </w:rPr>
      </w:pPr>
      <w:r>
        <w:rPr>
          <w:rFonts w:eastAsiaTheme="minorEastAsia"/>
        </w:rPr>
        <w:t>Rational investors will continuously revise their subjective state probabilities as such information is received</w:t>
      </w:r>
    </w:p>
    <w:p w14:paraId="0A459CBB" w14:textId="77777777" w:rsidR="0017589C" w:rsidRDefault="0017589C" w:rsidP="0017589C">
      <w:pPr>
        <w:pStyle w:val="ListParagraph"/>
        <w:numPr>
          <w:ilvl w:val="0"/>
          <w:numId w:val="17"/>
        </w:numPr>
        <w:rPr>
          <w:rFonts w:eastAsiaTheme="minorEastAsia"/>
        </w:rPr>
      </w:pPr>
      <w:r>
        <w:rPr>
          <w:rFonts w:eastAsiaTheme="minorEastAsia"/>
        </w:rPr>
        <w:t>Informed investors are those who invest time and money into analyzing information to guide their investment decisions</w:t>
      </w:r>
    </w:p>
    <w:p w14:paraId="2B9A6CC1" w14:textId="77777777" w:rsidR="0017589C" w:rsidRDefault="0017589C" w:rsidP="0017589C">
      <w:pPr>
        <w:pStyle w:val="ListParagraph"/>
        <w:numPr>
          <w:ilvl w:val="1"/>
          <w:numId w:val="17"/>
        </w:numPr>
        <w:rPr>
          <w:rFonts w:eastAsiaTheme="minorEastAsia"/>
        </w:rPr>
      </w:pPr>
      <w:r>
        <w:rPr>
          <w:rFonts w:eastAsiaTheme="minorEastAsia"/>
        </w:rPr>
        <w:t>They want to act quickly to reap the benefits provided by the new information</w:t>
      </w:r>
    </w:p>
    <w:p w14:paraId="5E4AF224" w14:textId="77777777" w:rsidR="0017589C" w:rsidRDefault="0017589C" w:rsidP="0017589C">
      <w:pPr>
        <w:pStyle w:val="ListParagraph"/>
        <w:numPr>
          <w:ilvl w:val="1"/>
          <w:numId w:val="17"/>
        </w:numPr>
        <w:rPr>
          <w:rFonts w:eastAsiaTheme="minorEastAsia"/>
        </w:rPr>
      </w:pPr>
      <w:r>
        <w:rPr>
          <w:rFonts w:eastAsiaTheme="minorEastAsia"/>
        </w:rPr>
        <w:t>When a sufficient number of investors act this way, the market becomes efficient</w:t>
      </w:r>
    </w:p>
    <w:p w14:paraId="7C383A99" w14:textId="77777777" w:rsidR="0017589C" w:rsidRDefault="004318EB" w:rsidP="0017589C">
      <w:pPr>
        <w:pStyle w:val="ListParagraph"/>
        <w:numPr>
          <w:ilvl w:val="0"/>
          <w:numId w:val="17"/>
        </w:numPr>
        <w:rPr>
          <w:rFonts w:eastAsiaTheme="minorEastAsia"/>
        </w:rPr>
      </w:pPr>
      <w:r>
        <w:rPr>
          <w:rFonts w:eastAsiaTheme="minorEastAsia"/>
        </w:rPr>
        <w:t>Semi-Strong Form Efficiency:</w:t>
      </w:r>
    </w:p>
    <w:p w14:paraId="142CF286" w14:textId="77777777" w:rsidR="004318EB" w:rsidRDefault="004318EB" w:rsidP="004318EB">
      <w:pPr>
        <w:pStyle w:val="ListParagraph"/>
        <w:numPr>
          <w:ilvl w:val="1"/>
          <w:numId w:val="17"/>
        </w:numPr>
        <w:rPr>
          <w:rFonts w:eastAsiaTheme="minorEastAsia"/>
        </w:rPr>
      </w:pPr>
      <w:r>
        <w:rPr>
          <w:rFonts w:eastAsiaTheme="minorEastAsia"/>
        </w:rPr>
        <w:t xml:space="preserve">An efficient securities market is one where the prices of securities traded on that market at all times fully reflect all information that is </w:t>
      </w:r>
      <w:r w:rsidRPr="004318EB">
        <w:rPr>
          <w:rFonts w:eastAsiaTheme="minorEastAsia"/>
          <w:u w:val="single"/>
        </w:rPr>
        <w:t>publically known</w:t>
      </w:r>
      <w:r>
        <w:rPr>
          <w:rFonts w:eastAsiaTheme="minorEastAsia"/>
        </w:rPr>
        <w:t xml:space="preserve"> about those securities</w:t>
      </w:r>
    </w:p>
    <w:p w14:paraId="1B60CABC" w14:textId="77777777" w:rsidR="004318EB" w:rsidRDefault="004318EB" w:rsidP="004318EB">
      <w:pPr>
        <w:pStyle w:val="ListParagraph"/>
        <w:numPr>
          <w:ilvl w:val="0"/>
          <w:numId w:val="17"/>
        </w:numPr>
        <w:rPr>
          <w:rFonts w:eastAsiaTheme="minorEastAsia"/>
        </w:rPr>
      </w:pPr>
      <w:r>
        <w:rPr>
          <w:rFonts w:eastAsiaTheme="minorEastAsia"/>
        </w:rPr>
        <w:t>Strong Form Efficiency:</w:t>
      </w:r>
    </w:p>
    <w:p w14:paraId="6B4E4FC8" w14:textId="77777777" w:rsidR="004318EB" w:rsidRDefault="004318EB" w:rsidP="004318EB">
      <w:pPr>
        <w:pStyle w:val="ListParagraph"/>
        <w:numPr>
          <w:ilvl w:val="1"/>
          <w:numId w:val="17"/>
        </w:numPr>
        <w:rPr>
          <w:rFonts w:eastAsiaTheme="minorEastAsia"/>
        </w:rPr>
      </w:pPr>
      <w:r>
        <w:rPr>
          <w:rFonts w:eastAsiaTheme="minorEastAsia"/>
        </w:rPr>
        <w:t>Security prices reflect all information, not just information that is publically available</w:t>
      </w:r>
    </w:p>
    <w:p w14:paraId="3657A26B" w14:textId="77777777" w:rsidR="004318EB" w:rsidRPr="0018751F" w:rsidRDefault="004318EB" w:rsidP="004318EB">
      <w:pPr>
        <w:pStyle w:val="ListParagraph"/>
        <w:numPr>
          <w:ilvl w:val="0"/>
          <w:numId w:val="17"/>
        </w:numPr>
        <w:rPr>
          <w:rFonts w:eastAsiaTheme="minorEastAsia"/>
          <w:highlight w:val="yellow"/>
        </w:rPr>
      </w:pPr>
      <w:r w:rsidRPr="0018751F">
        <w:rPr>
          <w:rFonts w:eastAsiaTheme="minorEastAsia"/>
          <w:highlight w:val="yellow"/>
        </w:rPr>
        <w:t>4 points to note about efficiency:</w:t>
      </w:r>
    </w:p>
    <w:p w14:paraId="5AFEB8F6" w14:textId="77777777" w:rsidR="004318EB" w:rsidRPr="0018751F" w:rsidRDefault="004318EB" w:rsidP="004318EB">
      <w:pPr>
        <w:pStyle w:val="ListParagraph"/>
        <w:numPr>
          <w:ilvl w:val="1"/>
          <w:numId w:val="17"/>
        </w:numPr>
        <w:rPr>
          <w:rFonts w:eastAsiaTheme="minorEastAsia"/>
          <w:u w:val="single"/>
        </w:rPr>
      </w:pPr>
      <w:r w:rsidRPr="0018751F">
        <w:rPr>
          <w:rFonts w:eastAsiaTheme="minorEastAsia"/>
          <w:u w:val="single"/>
        </w:rPr>
        <w:t xml:space="preserve">1. Market prices are efficient with respect to </w:t>
      </w:r>
      <w:proofErr w:type="gramStart"/>
      <w:r w:rsidRPr="0018751F">
        <w:rPr>
          <w:rFonts w:eastAsiaTheme="minorEastAsia"/>
          <w:u w:val="single"/>
        </w:rPr>
        <w:t>publically  known</w:t>
      </w:r>
      <w:proofErr w:type="gramEnd"/>
      <w:r w:rsidRPr="0018751F">
        <w:rPr>
          <w:rFonts w:eastAsiaTheme="minorEastAsia"/>
          <w:u w:val="single"/>
        </w:rPr>
        <w:t xml:space="preserve"> information</w:t>
      </w:r>
    </w:p>
    <w:p w14:paraId="790AAA41" w14:textId="77777777" w:rsidR="004318EB" w:rsidRDefault="004318EB" w:rsidP="004318EB">
      <w:pPr>
        <w:pStyle w:val="ListParagraph"/>
        <w:numPr>
          <w:ilvl w:val="2"/>
          <w:numId w:val="17"/>
        </w:numPr>
        <w:rPr>
          <w:rFonts w:eastAsiaTheme="minorEastAsia"/>
        </w:rPr>
      </w:pPr>
      <w:r>
        <w:rPr>
          <w:rFonts w:eastAsiaTheme="minorEastAsia"/>
        </w:rPr>
        <w:lastRenderedPageBreak/>
        <w:t>This means that those with insider information may be able to earn excess profits on their investments at the expense of outsiders</w:t>
      </w:r>
    </w:p>
    <w:p w14:paraId="2932673E" w14:textId="77777777" w:rsidR="004318EB" w:rsidRPr="0018751F" w:rsidRDefault="004318EB" w:rsidP="004318EB">
      <w:pPr>
        <w:pStyle w:val="ListParagraph"/>
        <w:numPr>
          <w:ilvl w:val="1"/>
          <w:numId w:val="17"/>
        </w:numPr>
        <w:rPr>
          <w:rFonts w:eastAsiaTheme="minorEastAsia"/>
          <w:u w:val="single"/>
        </w:rPr>
      </w:pPr>
      <w:r w:rsidRPr="0018751F">
        <w:rPr>
          <w:rFonts w:eastAsiaTheme="minorEastAsia"/>
          <w:u w:val="single"/>
        </w:rPr>
        <w:t>2. Market efficiency is a relative concept</w:t>
      </w:r>
    </w:p>
    <w:p w14:paraId="0DAF7118" w14:textId="77777777" w:rsidR="007A6E5E" w:rsidRDefault="004318EB" w:rsidP="007A6E5E">
      <w:pPr>
        <w:pStyle w:val="ListParagraph"/>
        <w:numPr>
          <w:ilvl w:val="2"/>
          <w:numId w:val="17"/>
        </w:numPr>
        <w:rPr>
          <w:rFonts w:eastAsiaTheme="minorEastAsia"/>
        </w:rPr>
      </w:pPr>
      <w:r>
        <w:rPr>
          <w:rFonts w:eastAsiaTheme="minorEastAsia"/>
        </w:rPr>
        <w:t>The market is efficient relative to a stock of publically available information</w:t>
      </w:r>
    </w:p>
    <w:p w14:paraId="1E9268B5" w14:textId="77777777" w:rsidR="004318EB" w:rsidRDefault="004318EB" w:rsidP="007A6E5E">
      <w:pPr>
        <w:pStyle w:val="ListParagraph"/>
        <w:numPr>
          <w:ilvl w:val="2"/>
          <w:numId w:val="17"/>
        </w:numPr>
        <w:rPr>
          <w:rFonts w:eastAsiaTheme="minorEastAsia"/>
        </w:rPr>
      </w:pPr>
      <w:r>
        <w:rPr>
          <w:rFonts w:eastAsiaTheme="minorEastAsia"/>
        </w:rPr>
        <w:t xml:space="preserve"> </w:t>
      </w:r>
      <w:r w:rsidR="007A6E5E">
        <w:rPr>
          <w:rFonts w:eastAsiaTheme="minorEastAsia"/>
        </w:rPr>
        <w:t>If a stock of information is incomplete, say due to inside information, or wrong, security prices will be wrong</w:t>
      </w:r>
    </w:p>
    <w:p w14:paraId="71C7AA10" w14:textId="77777777" w:rsidR="00981A23" w:rsidRPr="007A6E5E" w:rsidRDefault="00981A23" w:rsidP="007A6E5E">
      <w:pPr>
        <w:pStyle w:val="ListParagraph"/>
        <w:numPr>
          <w:ilvl w:val="2"/>
          <w:numId w:val="17"/>
        </w:numPr>
        <w:rPr>
          <w:rFonts w:eastAsiaTheme="minorEastAsia"/>
        </w:rPr>
      </w:pPr>
      <w:r>
        <w:rPr>
          <w:rFonts w:eastAsiaTheme="minorEastAsia"/>
        </w:rPr>
        <w:t>Suggests that prices are unbiased relative to publically available information and will react quickly to new or revised information</w:t>
      </w:r>
    </w:p>
    <w:p w14:paraId="13D41E80" w14:textId="77777777" w:rsidR="004318EB" w:rsidRPr="0018751F" w:rsidRDefault="004318EB" w:rsidP="004318EB">
      <w:pPr>
        <w:pStyle w:val="ListParagraph"/>
        <w:numPr>
          <w:ilvl w:val="1"/>
          <w:numId w:val="17"/>
        </w:numPr>
        <w:rPr>
          <w:rFonts w:eastAsiaTheme="minorEastAsia"/>
          <w:u w:val="single"/>
        </w:rPr>
      </w:pPr>
      <w:r w:rsidRPr="0018751F">
        <w:rPr>
          <w:rFonts w:eastAsiaTheme="minorEastAsia"/>
          <w:u w:val="single"/>
        </w:rPr>
        <w:t>3. Investing is a fair game if the market is efficient</w:t>
      </w:r>
    </w:p>
    <w:p w14:paraId="4BA2E38D" w14:textId="77777777" w:rsidR="004318EB" w:rsidRDefault="004318EB" w:rsidP="004318EB">
      <w:pPr>
        <w:pStyle w:val="ListParagraph"/>
        <w:numPr>
          <w:ilvl w:val="2"/>
          <w:numId w:val="17"/>
        </w:numPr>
        <w:rPr>
          <w:rFonts w:eastAsiaTheme="minorEastAsia"/>
        </w:rPr>
      </w:pPr>
      <w:r>
        <w:rPr>
          <w:rFonts w:eastAsiaTheme="minorEastAsia"/>
        </w:rPr>
        <w:t>Investors cannot expect to earn excess returns on a security or a portfolio of securities over and above the normal expected return on that security where the normal expected return allows for risk</w:t>
      </w:r>
    </w:p>
    <w:p w14:paraId="430063E6" w14:textId="77777777" w:rsidR="004318EB" w:rsidRPr="0018751F" w:rsidRDefault="004318EB" w:rsidP="004318EB">
      <w:pPr>
        <w:pStyle w:val="ListParagraph"/>
        <w:numPr>
          <w:ilvl w:val="1"/>
          <w:numId w:val="17"/>
        </w:numPr>
        <w:rPr>
          <w:rFonts w:eastAsiaTheme="minorEastAsia"/>
          <w:u w:val="single"/>
        </w:rPr>
      </w:pPr>
      <w:r w:rsidRPr="0018751F">
        <w:rPr>
          <w:rFonts w:eastAsiaTheme="minorEastAsia"/>
          <w:u w:val="single"/>
        </w:rPr>
        <w:t>4. A security’s market price should fluctuate randomly over time</w:t>
      </w:r>
    </w:p>
    <w:p w14:paraId="010559EE" w14:textId="77777777" w:rsidR="004318EB" w:rsidRDefault="004318EB" w:rsidP="004318EB">
      <w:pPr>
        <w:pStyle w:val="ListParagraph"/>
        <w:numPr>
          <w:ilvl w:val="2"/>
          <w:numId w:val="17"/>
        </w:numPr>
        <w:rPr>
          <w:rFonts w:eastAsiaTheme="minorEastAsia"/>
        </w:rPr>
      </w:pPr>
      <w:r>
        <w:rPr>
          <w:rFonts w:eastAsiaTheme="minorEastAsia"/>
        </w:rPr>
        <w:t>There should be no serial correlation of share returns</w:t>
      </w:r>
    </w:p>
    <w:p w14:paraId="4557BE1A" w14:textId="2E91DBD8" w:rsidR="004318EB" w:rsidRDefault="004318EB" w:rsidP="004318EB">
      <w:pPr>
        <w:pStyle w:val="ListParagraph"/>
        <w:numPr>
          <w:ilvl w:val="2"/>
          <w:numId w:val="17"/>
        </w:numPr>
        <w:rPr>
          <w:rFonts w:eastAsiaTheme="minorEastAsia"/>
        </w:rPr>
      </w:pPr>
      <w:r>
        <w:rPr>
          <w:rFonts w:eastAsiaTheme="minorEastAsia"/>
        </w:rPr>
        <w:t xml:space="preserve">If firm releases good news, there should be an increase in share price that same day. If in the absence of any further news, its price continues to rises in succeeding days, there is market inefficiency </w:t>
      </w:r>
      <w:r w:rsidR="00AE54BA">
        <w:rPr>
          <w:rFonts w:eastAsiaTheme="minorEastAsia"/>
        </w:rPr>
        <w:t>(post-announcement drift)</w:t>
      </w:r>
    </w:p>
    <w:p w14:paraId="5224BF97" w14:textId="77777777" w:rsidR="0018751F" w:rsidRDefault="0018751F" w:rsidP="004318EB">
      <w:pPr>
        <w:pStyle w:val="ListParagraph"/>
        <w:numPr>
          <w:ilvl w:val="2"/>
          <w:numId w:val="17"/>
        </w:numPr>
        <w:rPr>
          <w:rFonts w:eastAsiaTheme="minorEastAsia"/>
        </w:rPr>
      </w:pPr>
      <w:r>
        <w:rPr>
          <w:rFonts w:eastAsiaTheme="minorEastAsia"/>
        </w:rPr>
        <w:t>The market’s expectation of the effect of such events on the value of the firm is on average unbiased – the only reason that prices will change is if some relevant but UNEXPECTED information comes along, and unexpected information occurs randomly</w:t>
      </w:r>
    </w:p>
    <w:p w14:paraId="66D6E87B" w14:textId="77777777" w:rsidR="0018751F" w:rsidRPr="00981A23" w:rsidRDefault="0018751F" w:rsidP="0018751F">
      <w:pPr>
        <w:rPr>
          <w:rFonts w:eastAsiaTheme="minorEastAsia"/>
          <w:b/>
        </w:rPr>
      </w:pPr>
      <w:r w:rsidRPr="00981A23">
        <w:rPr>
          <w:rFonts w:eastAsiaTheme="minorEastAsia"/>
          <w:b/>
        </w:rPr>
        <w:t xml:space="preserve">4.2.2 </w:t>
      </w:r>
      <w:proofErr w:type="gramStart"/>
      <w:r w:rsidRPr="00981A23">
        <w:rPr>
          <w:rFonts w:eastAsiaTheme="minorEastAsia"/>
          <w:b/>
        </w:rPr>
        <w:t>How</w:t>
      </w:r>
      <w:proofErr w:type="gramEnd"/>
      <w:r w:rsidRPr="00981A23">
        <w:rPr>
          <w:rFonts w:eastAsiaTheme="minorEastAsia"/>
          <w:b/>
        </w:rPr>
        <w:t xml:space="preserve"> do Market Prices Fully Reflect All Available Information?</w:t>
      </w:r>
    </w:p>
    <w:p w14:paraId="5DA1B4B6" w14:textId="77777777" w:rsidR="0018751F" w:rsidRDefault="0018751F" w:rsidP="0018751F">
      <w:pPr>
        <w:pStyle w:val="ListParagraph"/>
        <w:numPr>
          <w:ilvl w:val="0"/>
          <w:numId w:val="18"/>
        </w:numPr>
        <w:rPr>
          <w:rFonts w:eastAsiaTheme="minorEastAsia"/>
        </w:rPr>
      </w:pPr>
      <w:r>
        <w:rPr>
          <w:rFonts w:eastAsiaTheme="minorEastAsia"/>
        </w:rPr>
        <w:t>Likely that different investors will react to the same information differently, even though they all proceed rationally</w:t>
      </w:r>
    </w:p>
    <w:p w14:paraId="1F9E97E4" w14:textId="77777777" w:rsidR="007A6E5E" w:rsidRDefault="007A6E5E" w:rsidP="0018751F">
      <w:pPr>
        <w:pStyle w:val="ListParagraph"/>
        <w:numPr>
          <w:ilvl w:val="0"/>
          <w:numId w:val="18"/>
        </w:numPr>
        <w:rPr>
          <w:rFonts w:eastAsiaTheme="minorEastAsia"/>
        </w:rPr>
      </w:pPr>
      <w:r>
        <w:rPr>
          <w:rFonts w:eastAsiaTheme="minorEastAsia"/>
        </w:rPr>
        <w:t>How can the market price fully reflect all available information when the individuals making the demand and supply decisions are different?</w:t>
      </w:r>
    </w:p>
    <w:p w14:paraId="2235BD47" w14:textId="77777777" w:rsidR="0018751F" w:rsidRDefault="007A6E5E" w:rsidP="007A6E5E">
      <w:pPr>
        <w:pStyle w:val="ListParagraph"/>
        <w:numPr>
          <w:ilvl w:val="1"/>
          <w:numId w:val="18"/>
        </w:numPr>
        <w:rPr>
          <w:rFonts w:eastAsiaTheme="minorEastAsia"/>
        </w:rPr>
      </w:pPr>
      <w:r>
        <w:rPr>
          <w:rFonts w:eastAsiaTheme="minorEastAsia"/>
        </w:rPr>
        <w:t>What is required is that investors’ estimates of security values must on average be unbiased</w:t>
      </w:r>
    </w:p>
    <w:p w14:paraId="02AB1028" w14:textId="77777777" w:rsidR="007A6E5E" w:rsidRDefault="007A6E5E" w:rsidP="007A6E5E">
      <w:pPr>
        <w:pStyle w:val="ListParagraph"/>
        <w:numPr>
          <w:ilvl w:val="1"/>
          <w:numId w:val="18"/>
        </w:numPr>
        <w:rPr>
          <w:rFonts w:eastAsiaTheme="minorEastAsia"/>
        </w:rPr>
      </w:pPr>
      <w:r>
        <w:rPr>
          <w:rFonts w:eastAsiaTheme="minorEastAsia"/>
        </w:rPr>
        <w:t>Individual decisions are independent, so individual differences cancel out in their effect on price</w:t>
      </w:r>
    </w:p>
    <w:p w14:paraId="77978D51" w14:textId="77777777" w:rsidR="007A6E5E" w:rsidRDefault="007A6E5E" w:rsidP="007A6E5E">
      <w:pPr>
        <w:pStyle w:val="ListParagraph"/>
        <w:numPr>
          <w:ilvl w:val="2"/>
          <w:numId w:val="18"/>
        </w:numPr>
        <w:rPr>
          <w:rFonts w:eastAsiaTheme="minorEastAsia"/>
        </w:rPr>
      </w:pPr>
      <w:proofErr w:type="gramStart"/>
      <w:r>
        <w:rPr>
          <w:rFonts w:eastAsiaTheme="minorEastAsia"/>
        </w:rPr>
        <w:t>i</w:t>
      </w:r>
      <w:proofErr w:type="gramEnd"/>
      <w:r>
        <w:rPr>
          <w:rFonts w:eastAsiaTheme="minorEastAsia"/>
        </w:rPr>
        <w:t>.e. the market would not be efficient is a sufficient number of investors display a collective bias in their reaction to new information about a firm, because the resulting share price would be biased</w:t>
      </w:r>
    </w:p>
    <w:p w14:paraId="0C1564E0" w14:textId="77777777" w:rsidR="007A6E5E" w:rsidRDefault="007A6E5E" w:rsidP="007A6E5E">
      <w:pPr>
        <w:pStyle w:val="ListParagraph"/>
        <w:numPr>
          <w:ilvl w:val="1"/>
          <w:numId w:val="18"/>
        </w:numPr>
        <w:rPr>
          <w:rFonts w:eastAsiaTheme="minorEastAsia"/>
        </w:rPr>
      </w:pPr>
      <w:r>
        <w:rPr>
          <w:rFonts w:eastAsiaTheme="minorEastAsia"/>
        </w:rPr>
        <w:t>On average, the market uses all available information</w:t>
      </w:r>
    </w:p>
    <w:p w14:paraId="2BCBA6F0" w14:textId="77777777" w:rsidR="00981A23" w:rsidRDefault="00981A23" w:rsidP="007A6E5E">
      <w:pPr>
        <w:pStyle w:val="ListParagraph"/>
        <w:numPr>
          <w:ilvl w:val="1"/>
          <w:numId w:val="18"/>
        </w:numPr>
        <w:rPr>
          <w:rFonts w:eastAsiaTheme="minorEastAsia"/>
        </w:rPr>
      </w:pPr>
      <w:r>
        <w:rPr>
          <w:rFonts w:eastAsiaTheme="minorEastAsia"/>
        </w:rPr>
        <w:t xml:space="preserve">So even though </w:t>
      </w:r>
      <w:proofErr w:type="gramStart"/>
      <w:r>
        <w:rPr>
          <w:rFonts w:eastAsiaTheme="minorEastAsia"/>
        </w:rPr>
        <w:t>different  investors</w:t>
      </w:r>
      <w:proofErr w:type="gramEnd"/>
      <w:r>
        <w:rPr>
          <w:rFonts w:eastAsiaTheme="minorEastAsia"/>
        </w:rPr>
        <w:t xml:space="preserve"> may interpret the same information differently, these differences will average out so that the market price has superior quality to the quality of the information processes of the individuals trading on the market, assuming investors evaluate information independently </w:t>
      </w:r>
    </w:p>
    <w:p w14:paraId="3ED01C8E" w14:textId="77777777" w:rsidR="00CA747A" w:rsidRDefault="00CA747A" w:rsidP="00981A23">
      <w:pPr>
        <w:rPr>
          <w:rFonts w:eastAsiaTheme="minorEastAsia"/>
        </w:rPr>
      </w:pPr>
    </w:p>
    <w:p w14:paraId="50E4457B" w14:textId="77777777" w:rsidR="00CA747A" w:rsidRDefault="00CA747A" w:rsidP="00981A23">
      <w:pPr>
        <w:rPr>
          <w:rFonts w:eastAsiaTheme="minorEastAsia"/>
        </w:rPr>
      </w:pPr>
    </w:p>
    <w:p w14:paraId="604A6DFA" w14:textId="77777777" w:rsidR="00981A23" w:rsidRPr="00CA747A" w:rsidRDefault="00981A23" w:rsidP="00981A23">
      <w:pPr>
        <w:rPr>
          <w:rFonts w:eastAsiaTheme="minorEastAsia"/>
          <w:b/>
        </w:rPr>
      </w:pPr>
      <w:r w:rsidRPr="00CA747A">
        <w:rPr>
          <w:rFonts w:eastAsiaTheme="minorEastAsia"/>
          <w:b/>
        </w:rPr>
        <w:lastRenderedPageBreak/>
        <w:t>4.3 Implications of Efficient Securities Markets for Financial Reporting</w:t>
      </w:r>
      <w:r w:rsidR="00CA747A">
        <w:rPr>
          <w:rFonts w:eastAsiaTheme="minorEastAsia"/>
          <w:b/>
        </w:rPr>
        <w:t xml:space="preserve"> </w:t>
      </w:r>
      <w:r w:rsidR="00CA747A" w:rsidRPr="00CA747A">
        <w:rPr>
          <w:rFonts w:eastAsiaTheme="minorEastAsia"/>
          <w:b/>
          <w:i/>
        </w:rPr>
        <w:t>(W.H. Beaver, 1973)</w:t>
      </w:r>
    </w:p>
    <w:p w14:paraId="2269F80C" w14:textId="77777777" w:rsidR="00981A23" w:rsidRPr="001E4ACC" w:rsidRDefault="00981A23" w:rsidP="00981A23">
      <w:pPr>
        <w:pStyle w:val="ListParagraph"/>
        <w:numPr>
          <w:ilvl w:val="0"/>
          <w:numId w:val="19"/>
        </w:numPr>
        <w:rPr>
          <w:rFonts w:eastAsiaTheme="minorEastAsia"/>
          <w:highlight w:val="yellow"/>
        </w:rPr>
      </w:pPr>
      <w:r w:rsidRPr="001E4ACC">
        <w:rPr>
          <w:rFonts w:eastAsiaTheme="minorEastAsia"/>
          <w:highlight w:val="yellow"/>
        </w:rPr>
        <w:t xml:space="preserve">1. </w:t>
      </w:r>
      <w:r w:rsidR="00CA747A">
        <w:rPr>
          <w:rFonts w:eastAsiaTheme="minorEastAsia"/>
          <w:highlight w:val="yellow"/>
        </w:rPr>
        <w:t>Managers and Accountants should not be concerned about which accounting policies firms use unless different accounting policies have direct cash flow effects. (So long as they provide adequate disclosure)</w:t>
      </w:r>
    </w:p>
    <w:p w14:paraId="565DB13C" w14:textId="77777777" w:rsidR="00981A23" w:rsidRDefault="00981A23" w:rsidP="00981A23">
      <w:pPr>
        <w:pStyle w:val="ListParagraph"/>
        <w:numPr>
          <w:ilvl w:val="1"/>
          <w:numId w:val="19"/>
        </w:numPr>
        <w:rPr>
          <w:rFonts w:eastAsiaTheme="minorEastAsia"/>
        </w:rPr>
      </w:pPr>
      <w:r>
        <w:rPr>
          <w:rFonts w:eastAsiaTheme="minorEastAsia"/>
        </w:rPr>
        <w:t>Therefore, Beaver argues that the policy chosen will affect reported net income, but will not directly affect future cash flows and dividends</w:t>
      </w:r>
    </w:p>
    <w:p w14:paraId="63653292" w14:textId="77777777" w:rsidR="00981A23" w:rsidRDefault="00981A23" w:rsidP="00981A23">
      <w:pPr>
        <w:pStyle w:val="ListParagraph"/>
        <w:numPr>
          <w:ilvl w:val="1"/>
          <w:numId w:val="19"/>
        </w:numPr>
        <w:rPr>
          <w:rFonts w:eastAsiaTheme="minorEastAsia"/>
        </w:rPr>
      </w:pPr>
      <w:r>
        <w:rPr>
          <w:rFonts w:eastAsiaTheme="minorEastAsia"/>
        </w:rPr>
        <w:t>Since investors are concerned with future cash-flows and dividends and their impact on security returns, the choice on accounting policy should not matter</w:t>
      </w:r>
    </w:p>
    <w:p w14:paraId="3C51FAD5" w14:textId="77777777" w:rsidR="00981A23" w:rsidRDefault="001E4ACC" w:rsidP="00981A23">
      <w:pPr>
        <w:pStyle w:val="ListParagraph"/>
        <w:numPr>
          <w:ilvl w:val="1"/>
          <w:numId w:val="19"/>
        </w:numPr>
        <w:rPr>
          <w:rFonts w:eastAsiaTheme="minorEastAsia"/>
        </w:rPr>
      </w:pPr>
      <w:r w:rsidRPr="001E4ACC">
        <w:rPr>
          <w:rFonts w:eastAsiaTheme="minorEastAsia"/>
          <w:b/>
        </w:rPr>
        <w:t>Argument</w:t>
      </w:r>
      <w:r>
        <w:rPr>
          <w:rFonts w:eastAsiaTheme="minorEastAsia"/>
        </w:rPr>
        <w:t>: as long as firms disclose their policy and any additional information needed to convert from one method to another, the market can see through to the ultimate cash flow and dividend implications regardless of which accounting policy is actually used for reporting</w:t>
      </w:r>
    </w:p>
    <w:p w14:paraId="30109785" w14:textId="77777777" w:rsidR="001E4ACC" w:rsidRDefault="001E4ACC" w:rsidP="001E4ACC">
      <w:pPr>
        <w:pStyle w:val="ListParagraph"/>
        <w:numPr>
          <w:ilvl w:val="2"/>
          <w:numId w:val="19"/>
        </w:numPr>
        <w:rPr>
          <w:rFonts w:eastAsiaTheme="minorEastAsia"/>
        </w:rPr>
      </w:pPr>
      <w:r>
        <w:rPr>
          <w:rFonts w:eastAsiaTheme="minorEastAsia"/>
        </w:rPr>
        <w:t>Therefore management should not care about which particular accounting policies they use as long as those policies have no direct cash flow effects</w:t>
      </w:r>
    </w:p>
    <w:p w14:paraId="07919081" w14:textId="77777777" w:rsidR="001E4ACC" w:rsidRPr="00184A8B" w:rsidRDefault="001E4ACC" w:rsidP="001E4ACC">
      <w:pPr>
        <w:pStyle w:val="ListParagraph"/>
        <w:numPr>
          <w:ilvl w:val="0"/>
          <w:numId w:val="19"/>
        </w:numPr>
        <w:rPr>
          <w:rFonts w:eastAsiaTheme="minorEastAsia"/>
          <w:highlight w:val="yellow"/>
        </w:rPr>
      </w:pPr>
      <w:r w:rsidRPr="00184A8B">
        <w:rPr>
          <w:rFonts w:eastAsiaTheme="minorEastAsia"/>
          <w:highlight w:val="yellow"/>
        </w:rPr>
        <w:t xml:space="preserve">2. Efficient securities markets go hand in hand with </w:t>
      </w:r>
      <w:r w:rsidRPr="000F40CD">
        <w:rPr>
          <w:rFonts w:eastAsiaTheme="minorEastAsia"/>
          <w:highlight w:val="yellow"/>
          <w:u w:val="single"/>
        </w:rPr>
        <w:t>full disclosure</w:t>
      </w:r>
      <w:r w:rsidR="00184A8B" w:rsidRPr="00184A8B">
        <w:rPr>
          <w:rFonts w:eastAsiaTheme="minorEastAsia"/>
          <w:highlight w:val="yellow"/>
        </w:rPr>
        <w:t xml:space="preserve">. Management should develop and report information about the firm as long as the benefits exceed the costs or unless it is certain that investors know about this information from other sources. </w:t>
      </w:r>
    </w:p>
    <w:p w14:paraId="76614767" w14:textId="77777777" w:rsidR="00184A8B" w:rsidRDefault="00184A8B" w:rsidP="00184A8B">
      <w:pPr>
        <w:pStyle w:val="ListParagraph"/>
        <w:numPr>
          <w:ilvl w:val="1"/>
          <w:numId w:val="19"/>
        </w:numPr>
        <w:rPr>
          <w:rFonts w:eastAsiaTheme="minorEastAsia"/>
        </w:rPr>
      </w:pPr>
      <w:r w:rsidRPr="00184A8B">
        <w:rPr>
          <w:rFonts w:eastAsiaTheme="minorEastAsia"/>
          <w:b/>
        </w:rPr>
        <w:t>Argument 1</w:t>
      </w:r>
      <w:r>
        <w:rPr>
          <w:rFonts w:eastAsiaTheme="minorEastAsia"/>
        </w:rPr>
        <w:t>: investors will use all available information about the firms as they strive to improve their predictions of future returns, so the additional information will not be wasted</w:t>
      </w:r>
    </w:p>
    <w:p w14:paraId="0CFD3082" w14:textId="77777777" w:rsidR="00184A8B" w:rsidRDefault="00184A8B" w:rsidP="00184A8B">
      <w:pPr>
        <w:pStyle w:val="ListParagraph"/>
        <w:numPr>
          <w:ilvl w:val="1"/>
          <w:numId w:val="19"/>
        </w:numPr>
        <w:rPr>
          <w:rFonts w:eastAsiaTheme="minorEastAsia"/>
        </w:rPr>
      </w:pPr>
      <w:r w:rsidRPr="00184A8B">
        <w:rPr>
          <w:rFonts w:eastAsiaTheme="minorEastAsia"/>
          <w:b/>
        </w:rPr>
        <w:t>Argument 2</w:t>
      </w:r>
      <w:r>
        <w:rPr>
          <w:rFonts w:eastAsiaTheme="minorEastAsia"/>
        </w:rPr>
        <w:t>: the more information a firm discloses about itself, the greater is investors’ confidence in the working of the securities’ market, since there is less inside information to worry about</w:t>
      </w:r>
    </w:p>
    <w:p w14:paraId="683AA8E4" w14:textId="77777777" w:rsidR="00184A8B" w:rsidRPr="00184A8B" w:rsidRDefault="00184A8B" w:rsidP="00184A8B">
      <w:pPr>
        <w:pStyle w:val="ListParagraph"/>
        <w:numPr>
          <w:ilvl w:val="0"/>
          <w:numId w:val="19"/>
        </w:numPr>
        <w:rPr>
          <w:rFonts w:eastAsiaTheme="minorEastAsia"/>
          <w:highlight w:val="yellow"/>
        </w:rPr>
      </w:pPr>
      <w:r w:rsidRPr="00184A8B">
        <w:rPr>
          <w:rFonts w:eastAsiaTheme="minorEastAsia"/>
          <w:highlight w:val="yellow"/>
        </w:rPr>
        <w:t xml:space="preserve">3.  Firms should not be overly concerned about the naïve investor. Financial statement information does not need to be presented so simple to assume that not everyone will be able to understand it. </w:t>
      </w:r>
    </w:p>
    <w:p w14:paraId="2D6E1F7A" w14:textId="77777777" w:rsidR="00184A8B" w:rsidRDefault="00184A8B" w:rsidP="00184A8B">
      <w:pPr>
        <w:pStyle w:val="ListParagraph"/>
        <w:numPr>
          <w:ilvl w:val="1"/>
          <w:numId w:val="19"/>
        </w:numPr>
        <w:rPr>
          <w:rFonts w:eastAsiaTheme="minorEastAsia"/>
        </w:rPr>
      </w:pPr>
      <w:r w:rsidRPr="00184A8B">
        <w:rPr>
          <w:rFonts w:eastAsiaTheme="minorEastAsia"/>
          <w:b/>
        </w:rPr>
        <w:t>Argument</w:t>
      </w:r>
      <w:r>
        <w:rPr>
          <w:rFonts w:eastAsiaTheme="minorEastAsia"/>
        </w:rPr>
        <w:t>: if enough investors understand the disclosed information, the market price of a firm’s shares is the same as it would be if all investors understood it</w:t>
      </w:r>
    </w:p>
    <w:p w14:paraId="74BA4D54" w14:textId="77777777" w:rsidR="00184A8B" w:rsidRDefault="00184A8B" w:rsidP="00184A8B">
      <w:pPr>
        <w:pStyle w:val="ListParagraph"/>
        <w:numPr>
          <w:ilvl w:val="1"/>
          <w:numId w:val="19"/>
        </w:numPr>
        <w:rPr>
          <w:rFonts w:eastAsiaTheme="minorEastAsia"/>
        </w:rPr>
      </w:pPr>
      <w:r>
        <w:rPr>
          <w:rFonts w:eastAsiaTheme="minorEastAsia"/>
        </w:rPr>
        <w:t>Naïve investors can trust the efficient market to price securities so that they always reflect publically available information, even though the investor may not have the knowledge themselves</w:t>
      </w:r>
    </w:p>
    <w:p w14:paraId="2A3590B2" w14:textId="77777777" w:rsidR="00184A8B" w:rsidRDefault="00184A8B" w:rsidP="00184A8B">
      <w:pPr>
        <w:pStyle w:val="ListParagraph"/>
        <w:numPr>
          <w:ilvl w:val="2"/>
          <w:numId w:val="19"/>
        </w:numPr>
        <w:rPr>
          <w:rFonts w:eastAsiaTheme="minorEastAsia"/>
        </w:rPr>
      </w:pPr>
      <w:r>
        <w:rPr>
          <w:rFonts w:eastAsiaTheme="minorEastAsia"/>
        </w:rPr>
        <w:t xml:space="preserve">This is referred to as investors being </w:t>
      </w:r>
      <w:r w:rsidRPr="00184A8B">
        <w:rPr>
          <w:rFonts w:eastAsiaTheme="minorEastAsia"/>
          <w:b/>
        </w:rPr>
        <w:t>price-protected</w:t>
      </w:r>
      <w:r>
        <w:rPr>
          <w:rFonts w:eastAsiaTheme="minorEastAsia"/>
        </w:rPr>
        <w:t xml:space="preserve"> by the efficient market</w:t>
      </w:r>
    </w:p>
    <w:p w14:paraId="63FCB5D5" w14:textId="77777777" w:rsidR="00184A8B" w:rsidRPr="00CA747A" w:rsidRDefault="00184A8B" w:rsidP="00184A8B">
      <w:pPr>
        <w:pStyle w:val="ListParagraph"/>
        <w:numPr>
          <w:ilvl w:val="0"/>
          <w:numId w:val="19"/>
        </w:numPr>
        <w:rPr>
          <w:rFonts w:eastAsiaTheme="minorEastAsia"/>
          <w:highlight w:val="yellow"/>
        </w:rPr>
      </w:pPr>
      <w:r w:rsidRPr="00CA747A">
        <w:rPr>
          <w:rFonts w:eastAsiaTheme="minorEastAsia"/>
          <w:highlight w:val="yellow"/>
        </w:rPr>
        <w:t xml:space="preserve">4. </w:t>
      </w:r>
      <w:r w:rsidR="00CA747A" w:rsidRPr="00CA747A">
        <w:rPr>
          <w:rFonts w:eastAsiaTheme="minorEastAsia"/>
          <w:highlight w:val="yellow"/>
        </w:rPr>
        <w:t>Accountants are in competition with other providers of information</w:t>
      </w:r>
    </w:p>
    <w:p w14:paraId="70D89CEB" w14:textId="77777777" w:rsidR="00CA747A" w:rsidRDefault="00CA747A" w:rsidP="00CA747A">
      <w:pPr>
        <w:pStyle w:val="ListParagraph"/>
        <w:numPr>
          <w:ilvl w:val="1"/>
          <w:numId w:val="19"/>
        </w:numPr>
        <w:rPr>
          <w:rFonts w:eastAsiaTheme="minorEastAsia"/>
        </w:rPr>
      </w:pPr>
      <w:r w:rsidRPr="00CA747A">
        <w:rPr>
          <w:rFonts w:eastAsiaTheme="minorEastAsia"/>
          <w:b/>
        </w:rPr>
        <w:t>Argument</w:t>
      </w:r>
      <w:r>
        <w:rPr>
          <w:rFonts w:eastAsiaTheme="minorEastAsia"/>
        </w:rPr>
        <w:t>: if accountants do not provide useful, cost-effective information, the role of the accounting function will decline over time as other information sources take over</w:t>
      </w:r>
    </w:p>
    <w:p w14:paraId="4108DCD5" w14:textId="77777777" w:rsidR="00CA747A" w:rsidRPr="000F40CD" w:rsidRDefault="00765F06" w:rsidP="00CA747A">
      <w:pPr>
        <w:rPr>
          <w:rFonts w:eastAsiaTheme="minorEastAsia"/>
          <w:b/>
        </w:rPr>
      </w:pPr>
      <w:r w:rsidRPr="000F40CD">
        <w:rPr>
          <w:rFonts w:eastAsiaTheme="minorEastAsia"/>
          <w:b/>
        </w:rPr>
        <w:t xml:space="preserve">4.4 The </w:t>
      </w:r>
      <w:proofErr w:type="spellStart"/>
      <w:r w:rsidRPr="000F40CD">
        <w:rPr>
          <w:rFonts w:eastAsiaTheme="minorEastAsia"/>
          <w:b/>
        </w:rPr>
        <w:t>Informativeness</w:t>
      </w:r>
      <w:proofErr w:type="spellEnd"/>
      <w:r w:rsidRPr="000F40CD">
        <w:rPr>
          <w:rFonts w:eastAsiaTheme="minorEastAsia"/>
          <w:b/>
        </w:rPr>
        <w:t xml:space="preserve"> of Price (Grossman, 1976)</w:t>
      </w:r>
    </w:p>
    <w:p w14:paraId="0C0C9BCB" w14:textId="77777777" w:rsidR="00765F06" w:rsidRDefault="00765F06" w:rsidP="00765F06">
      <w:pPr>
        <w:pStyle w:val="ListParagraph"/>
        <w:numPr>
          <w:ilvl w:val="0"/>
          <w:numId w:val="20"/>
        </w:numPr>
        <w:rPr>
          <w:rFonts w:eastAsiaTheme="minorEastAsia"/>
        </w:rPr>
      </w:pPr>
      <w:r>
        <w:rPr>
          <w:rFonts w:eastAsiaTheme="minorEastAsia"/>
        </w:rPr>
        <w:t xml:space="preserve">The definition of market efficiency implies that all available information is already reflected in the market price (i.e. the price is </w:t>
      </w:r>
      <w:r w:rsidRPr="00765F06">
        <w:rPr>
          <w:rFonts w:eastAsiaTheme="minorEastAsia"/>
          <w:b/>
        </w:rPr>
        <w:t>fully informative</w:t>
      </w:r>
      <w:r>
        <w:rPr>
          <w:rFonts w:eastAsiaTheme="minorEastAsia"/>
        </w:rPr>
        <w:t>)</w:t>
      </w:r>
    </w:p>
    <w:p w14:paraId="5AC16800" w14:textId="77777777" w:rsidR="00765F06" w:rsidRDefault="00765F06" w:rsidP="00765F06">
      <w:pPr>
        <w:pStyle w:val="ListParagraph"/>
        <w:numPr>
          <w:ilvl w:val="0"/>
          <w:numId w:val="20"/>
        </w:numPr>
        <w:rPr>
          <w:rFonts w:eastAsiaTheme="minorEastAsia"/>
        </w:rPr>
      </w:pPr>
      <w:r>
        <w:rPr>
          <w:rFonts w:eastAsiaTheme="minorEastAsia"/>
        </w:rPr>
        <w:t xml:space="preserve">One of the implications of having fully informative market prices is that if information acquisition becomes too costly, investors will still looking for additional info and rely on the </w:t>
      </w:r>
      <w:proofErr w:type="gramStart"/>
      <w:r>
        <w:rPr>
          <w:rFonts w:eastAsiaTheme="minorEastAsia"/>
        </w:rPr>
        <w:t>market  price</w:t>
      </w:r>
      <w:proofErr w:type="gramEnd"/>
      <w:r>
        <w:rPr>
          <w:rFonts w:eastAsiaTheme="minorEastAsia"/>
        </w:rPr>
        <w:t xml:space="preserve"> as the best indicator of security returns</w:t>
      </w:r>
    </w:p>
    <w:p w14:paraId="48BFBD1D" w14:textId="77777777" w:rsidR="00765F06" w:rsidRDefault="00765F06" w:rsidP="00765F06">
      <w:pPr>
        <w:pStyle w:val="ListParagraph"/>
        <w:numPr>
          <w:ilvl w:val="0"/>
          <w:numId w:val="20"/>
        </w:numPr>
        <w:rPr>
          <w:rFonts w:eastAsiaTheme="minorEastAsia"/>
        </w:rPr>
      </w:pPr>
      <w:r w:rsidRPr="004D438C">
        <w:rPr>
          <w:rFonts w:eastAsiaTheme="minorEastAsia"/>
          <w:b/>
        </w:rPr>
        <w:lastRenderedPageBreak/>
        <w:t>Logical Inconsistency:</w:t>
      </w:r>
      <w:r>
        <w:rPr>
          <w:rFonts w:eastAsiaTheme="minorEastAsia"/>
        </w:rPr>
        <w:t xml:space="preserve"> if prices fully reflect available information, there is no motivation for investors to acquire information; hence prices will not fully reflect available information</w:t>
      </w:r>
    </w:p>
    <w:p w14:paraId="7EC6D7B3" w14:textId="77777777" w:rsidR="00765F06" w:rsidRDefault="00765F06" w:rsidP="00765F06">
      <w:pPr>
        <w:pStyle w:val="ListParagraph"/>
        <w:numPr>
          <w:ilvl w:val="0"/>
          <w:numId w:val="20"/>
        </w:numPr>
        <w:rPr>
          <w:rFonts w:eastAsiaTheme="minorEastAsia"/>
        </w:rPr>
      </w:pPr>
      <w:r w:rsidRPr="004D438C">
        <w:rPr>
          <w:rFonts w:eastAsiaTheme="minorEastAsia"/>
          <w:b/>
        </w:rPr>
        <w:t>Grossman’s Theory:</w:t>
      </w:r>
      <w:r>
        <w:rPr>
          <w:rFonts w:eastAsiaTheme="minorEastAsia"/>
        </w:rPr>
        <w:t xml:space="preserve"> stable equilibrium prices do not exist if share prices are fully informative</w:t>
      </w:r>
    </w:p>
    <w:p w14:paraId="2D4DE9E3" w14:textId="77777777" w:rsidR="00765F06" w:rsidRDefault="00765F06" w:rsidP="00765F06">
      <w:pPr>
        <w:pStyle w:val="ListParagraph"/>
        <w:numPr>
          <w:ilvl w:val="1"/>
          <w:numId w:val="20"/>
        </w:numPr>
        <w:rPr>
          <w:rFonts w:eastAsiaTheme="minorEastAsia"/>
        </w:rPr>
      </w:pPr>
      <w:r>
        <w:rPr>
          <w:rFonts w:eastAsiaTheme="minorEastAsia"/>
        </w:rPr>
        <w:t>Fully informative share prices would collapse as investors stopped gathering information</w:t>
      </w:r>
    </w:p>
    <w:p w14:paraId="211266AF" w14:textId="77777777" w:rsidR="00765F06" w:rsidRDefault="00765F06" w:rsidP="00765F06">
      <w:pPr>
        <w:pStyle w:val="ListParagraph"/>
        <w:numPr>
          <w:ilvl w:val="1"/>
          <w:numId w:val="20"/>
        </w:numPr>
        <w:rPr>
          <w:rFonts w:eastAsiaTheme="minorEastAsia"/>
        </w:rPr>
      </w:pPr>
      <w:r>
        <w:rPr>
          <w:rFonts w:eastAsiaTheme="minorEastAsia"/>
        </w:rPr>
        <w:t xml:space="preserve">Once share prices stopped reflecting all available information, investors would realize it worthwhile to gather information so that share prices would quickly become fully informative again </w:t>
      </w:r>
    </w:p>
    <w:p w14:paraId="59FA0A69" w14:textId="77777777" w:rsidR="00765F06" w:rsidRDefault="00765F06" w:rsidP="00765F06">
      <w:pPr>
        <w:ind w:left="720"/>
        <w:rPr>
          <w:rFonts w:eastAsiaTheme="minorEastAsia"/>
        </w:rPr>
      </w:pPr>
      <w:r>
        <w:rPr>
          <w:rFonts w:eastAsiaTheme="minorEastAsia"/>
          <w:noProof/>
          <w:lang w:val="en-US"/>
        </w:rPr>
        <w:drawing>
          <wp:inline distT="0" distB="0" distL="0" distR="0" wp14:anchorId="2D384806" wp14:editId="632FEC36">
            <wp:extent cx="3486150" cy="19812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86E38E1" w14:textId="77777777" w:rsidR="004D438C" w:rsidRDefault="004D438C" w:rsidP="004D438C">
      <w:pPr>
        <w:pStyle w:val="ListParagraph"/>
        <w:numPr>
          <w:ilvl w:val="0"/>
          <w:numId w:val="21"/>
        </w:numPr>
        <w:rPr>
          <w:rFonts w:eastAsiaTheme="minorEastAsia"/>
        </w:rPr>
      </w:pPr>
      <w:r>
        <w:rPr>
          <w:rFonts w:eastAsiaTheme="minorEastAsia"/>
        </w:rPr>
        <w:t>Since we do not observe share prices behaving this way, the theory needs modifications:</w:t>
      </w:r>
    </w:p>
    <w:p w14:paraId="67890EAA" w14:textId="77777777" w:rsidR="004D438C" w:rsidRDefault="004D438C" w:rsidP="004D438C">
      <w:pPr>
        <w:pStyle w:val="ListParagraph"/>
        <w:numPr>
          <w:ilvl w:val="1"/>
          <w:numId w:val="21"/>
        </w:numPr>
        <w:rPr>
          <w:rFonts w:eastAsiaTheme="minorEastAsia"/>
        </w:rPr>
      </w:pPr>
      <w:r>
        <w:rPr>
          <w:rFonts w:eastAsiaTheme="minorEastAsia"/>
        </w:rPr>
        <w:t>There are sources of demand/supply for securities other than the buy-sell decisions of rational, informed investors</w:t>
      </w:r>
    </w:p>
    <w:p w14:paraId="1004846D" w14:textId="77777777" w:rsidR="004D438C" w:rsidRPr="004D438C" w:rsidRDefault="004D438C" w:rsidP="004D438C">
      <w:pPr>
        <w:pStyle w:val="ListParagraph"/>
        <w:numPr>
          <w:ilvl w:val="1"/>
          <w:numId w:val="21"/>
        </w:numPr>
        <w:rPr>
          <w:rFonts w:eastAsiaTheme="minorEastAsia"/>
          <w:b/>
        </w:rPr>
      </w:pPr>
      <w:r>
        <w:rPr>
          <w:rFonts w:eastAsiaTheme="minorEastAsia"/>
        </w:rPr>
        <w:t xml:space="preserve">When an investor engages in a buy/sell for no particular reason, they are called </w:t>
      </w:r>
      <w:r w:rsidRPr="004D438C">
        <w:rPr>
          <w:rFonts w:eastAsiaTheme="minorEastAsia"/>
          <w:b/>
        </w:rPr>
        <w:t>noise traders</w:t>
      </w:r>
    </w:p>
    <w:p w14:paraId="1858F5F5" w14:textId="77777777" w:rsidR="004D438C" w:rsidRDefault="004D438C" w:rsidP="004D438C">
      <w:pPr>
        <w:pStyle w:val="ListParagraph"/>
        <w:numPr>
          <w:ilvl w:val="1"/>
          <w:numId w:val="21"/>
        </w:numPr>
        <w:rPr>
          <w:rFonts w:eastAsiaTheme="minorEastAsia"/>
        </w:rPr>
      </w:pPr>
      <w:r>
        <w:rPr>
          <w:rFonts w:eastAsiaTheme="minorEastAsia"/>
        </w:rPr>
        <w:t xml:space="preserve">Noise Traders will affect a security’s market price, but the decisions come at random – they are not based on rational evaluation of information </w:t>
      </w:r>
    </w:p>
    <w:p w14:paraId="27E07FDD" w14:textId="77777777" w:rsidR="004D438C" w:rsidRDefault="004D438C" w:rsidP="004D438C">
      <w:pPr>
        <w:pStyle w:val="ListParagraph"/>
        <w:numPr>
          <w:ilvl w:val="0"/>
          <w:numId w:val="21"/>
        </w:numPr>
        <w:rPr>
          <w:rFonts w:eastAsiaTheme="minorEastAsia"/>
        </w:rPr>
      </w:pPr>
      <w:r>
        <w:rPr>
          <w:rFonts w:eastAsiaTheme="minorEastAsia"/>
        </w:rPr>
        <w:t>How is market price affected by noise trading?</w:t>
      </w:r>
    </w:p>
    <w:p w14:paraId="6A95FC2D" w14:textId="77777777" w:rsidR="004D438C" w:rsidRDefault="004D438C" w:rsidP="004D438C">
      <w:pPr>
        <w:pStyle w:val="ListParagraph"/>
        <w:numPr>
          <w:ilvl w:val="1"/>
          <w:numId w:val="21"/>
        </w:numPr>
        <w:rPr>
          <w:rFonts w:eastAsiaTheme="minorEastAsia"/>
        </w:rPr>
      </w:pPr>
      <w:r>
        <w:rPr>
          <w:rFonts w:eastAsiaTheme="minorEastAsia"/>
        </w:rPr>
        <w:t>When a rational investor looks at share price, they consider 2 possibilities:</w:t>
      </w:r>
    </w:p>
    <w:p w14:paraId="16F841B6" w14:textId="77777777" w:rsidR="004D438C" w:rsidRDefault="004D438C" w:rsidP="004D438C">
      <w:pPr>
        <w:pStyle w:val="ListParagraph"/>
        <w:numPr>
          <w:ilvl w:val="2"/>
          <w:numId w:val="21"/>
        </w:numPr>
        <w:rPr>
          <w:rFonts w:eastAsiaTheme="minorEastAsia"/>
        </w:rPr>
      </w:pPr>
      <w:r>
        <w:rPr>
          <w:rFonts w:eastAsiaTheme="minorEastAsia"/>
        </w:rPr>
        <w:t>1. The share price is fully informative – reflects all available information</w:t>
      </w:r>
    </w:p>
    <w:p w14:paraId="4CFDA428" w14:textId="77777777" w:rsidR="004D438C" w:rsidRDefault="004D438C" w:rsidP="004D438C">
      <w:pPr>
        <w:pStyle w:val="ListParagraph"/>
        <w:numPr>
          <w:ilvl w:val="2"/>
          <w:numId w:val="21"/>
        </w:numPr>
        <w:rPr>
          <w:rFonts w:eastAsiaTheme="minorEastAsia"/>
        </w:rPr>
      </w:pPr>
      <w:r>
        <w:rPr>
          <w:rFonts w:eastAsiaTheme="minorEastAsia"/>
        </w:rPr>
        <w:t>2. The share price is a result of noise trading</w:t>
      </w:r>
    </w:p>
    <w:p w14:paraId="398F5F7C" w14:textId="77777777" w:rsidR="000F40CD" w:rsidRPr="000F40CD" w:rsidRDefault="004D438C" w:rsidP="000F40CD">
      <w:pPr>
        <w:pStyle w:val="ListParagraph"/>
        <w:numPr>
          <w:ilvl w:val="1"/>
          <w:numId w:val="21"/>
        </w:numPr>
        <w:rPr>
          <w:rFonts w:eastAsiaTheme="minorEastAsia"/>
          <w:highlight w:val="yellow"/>
        </w:rPr>
      </w:pPr>
      <w:r w:rsidRPr="00B04F79">
        <w:rPr>
          <w:rFonts w:eastAsiaTheme="minorEastAsia"/>
          <w:highlight w:val="yellow"/>
        </w:rPr>
        <w:t>A rational investor will consider both of these possibilities and so will increase his/her expectations of the security’s value, but to an amount less than the security’s market price</w:t>
      </w:r>
    </w:p>
    <w:p w14:paraId="4C4EE06D" w14:textId="77777777" w:rsidR="000F40CD" w:rsidRPr="000F40CD" w:rsidRDefault="000F40CD" w:rsidP="000F40CD">
      <w:pPr>
        <w:pStyle w:val="ListParagraph"/>
        <w:numPr>
          <w:ilvl w:val="1"/>
          <w:numId w:val="21"/>
        </w:numPr>
        <w:rPr>
          <w:rFonts w:eastAsiaTheme="minorEastAsia"/>
          <w:highlight w:val="yellow"/>
        </w:rPr>
      </w:pPr>
      <w:r>
        <w:t xml:space="preserve">Investors will also expand efforts to find undervalued/overvalued firms to buy/sell as a result of noise and, by doing so, are said to have </w:t>
      </w:r>
      <w:r w:rsidRPr="000F40CD">
        <w:rPr>
          <w:b/>
        </w:rPr>
        <w:t>rational expectations</w:t>
      </w:r>
    </w:p>
    <w:p w14:paraId="0904A146" w14:textId="77777777" w:rsidR="004D438C" w:rsidRDefault="004D438C" w:rsidP="004D438C">
      <w:pPr>
        <w:pStyle w:val="ListParagraph"/>
        <w:numPr>
          <w:ilvl w:val="1"/>
          <w:numId w:val="21"/>
        </w:numPr>
        <w:rPr>
          <w:rFonts w:eastAsiaTheme="minorEastAsia"/>
        </w:rPr>
      </w:pPr>
      <w:r>
        <w:rPr>
          <w:rFonts w:eastAsiaTheme="minorEastAsia"/>
        </w:rPr>
        <w:t>The rational investor will continue to update their beliefs by gathering more information</w:t>
      </w:r>
    </w:p>
    <w:p w14:paraId="11ABAE95" w14:textId="77777777" w:rsidR="004D438C" w:rsidRDefault="00B04F79" w:rsidP="004D438C">
      <w:pPr>
        <w:pStyle w:val="ListParagraph"/>
        <w:numPr>
          <w:ilvl w:val="2"/>
          <w:numId w:val="21"/>
        </w:numPr>
        <w:rPr>
          <w:rFonts w:eastAsiaTheme="minorEastAsia"/>
        </w:rPr>
      </w:pPr>
      <w:r>
        <w:rPr>
          <w:rFonts w:eastAsiaTheme="minorEastAsia"/>
        </w:rPr>
        <w:t>When they find out which possibility was the correct one, they will buy (if the firm is undervalued) or sell short (if share price temporarily high due to noise trading)</w:t>
      </w:r>
    </w:p>
    <w:p w14:paraId="02554DCB" w14:textId="77777777" w:rsidR="00B04F79" w:rsidRDefault="00B04F79" w:rsidP="004D438C">
      <w:pPr>
        <w:pStyle w:val="ListParagraph"/>
        <w:numPr>
          <w:ilvl w:val="2"/>
          <w:numId w:val="21"/>
        </w:numPr>
        <w:rPr>
          <w:rFonts w:eastAsiaTheme="minorEastAsia"/>
        </w:rPr>
      </w:pPr>
      <w:r>
        <w:rPr>
          <w:rFonts w:eastAsiaTheme="minorEastAsia"/>
        </w:rPr>
        <w:t>The efforts of the rational investor to do this will drive share price to its efficient value</w:t>
      </w:r>
    </w:p>
    <w:p w14:paraId="1D96190C" w14:textId="77777777" w:rsidR="00B04F79" w:rsidRDefault="00B04F79" w:rsidP="00B04F79">
      <w:pPr>
        <w:pStyle w:val="ListParagraph"/>
        <w:numPr>
          <w:ilvl w:val="1"/>
          <w:numId w:val="21"/>
        </w:numPr>
        <w:rPr>
          <w:rFonts w:eastAsiaTheme="minorEastAsia"/>
        </w:rPr>
      </w:pPr>
      <w:r>
        <w:rPr>
          <w:rFonts w:eastAsiaTheme="minorEastAsia"/>
        </w:rPr>
        <w:t xml:space="preserve">Security prices are said to be </w:t>
      </w:r>
      <w:r w:rsidRPr="00B04F79">
        <w:rPr>
          <w:rFonts w:eastAsiaTheme="minorEastAsia"/>
          <w:b/>
        </w:rPr>
        <w:t>partially informative</w:t>
      </w:r>
      <w:r>
        <w:rPr>
          <w:rFonts w:eastAsiaTheme="minorEastAsia"/>
        </w:rPr>
        <w:t xml:space="preserve"> in the presence of noise trading and rational expectations</w:t>
      </w:r>
    </w:p>
    <w:p w14:paraId="224BB2F6" w14:textId="77777777" w:rsidR="00B04F79" w:rsidRDefault="00B04F79" w:rsidP="00B04F79">
      <w:pPr>
        <w:pStyle w:val="ListParagraph"/>
        <w:numPr>
          <w:ilvl w:val="1"/>
          <w:numId w:val="21"/>
        </w:numPr>
        <w:rPr>
          <w:rFonts w:eastAsiaTheme="minorEastAsia"/>
        </w:rPr>
      </w:pPr>
      <w:r>
        <w:rPr>
          <w:rFonts w:eastAsiaTheme="minorEastAsia"/>
        </w:rPr>
        <w:lastRenderedPageBreak/>
        <w:t>The investor expects that the security price is fully informative, but after gathering more information they may find out that this is not the case due to noise trading</w:t>
      </w:r>
    </w:p>
    <w:p w14:paraId="4D1D4A6D" w14:textId="77777777" w:rsidR="00B04F79" w:rsidRDefault="00B04F79" w:rsidP="00B04F79">
      <w:pPr>
        <w:pStyle w:val="ListParagraph"/>
        <w:numPr>
          <w:ilvl w:val="1"/>
          <w:numId w:val="21"/>
        </w:numPr>
        <w:rPr>
          <w:rFonts w:eastAsiaTheme="minorEastAsia"/>
        </w:rPr>
      </w:pPr>
      <w:r>
        <w:rPr>
          <w:rFonts w:eastAsiaTheme="minorEastAsia"/>
        </w:rPr>
        <w:t>The extent to which investors gather additional information depends on a number of factors, such as how informative price is, the quality of financial statement information, and the costs of analysis and interpretation</w:t>
      </w:r>
    </w:p>
    <w:p w14:paraId="77BD273D" w14:textId="77777777" w:rsidR="00B04F79" w:rsidRDefault="00B04F79" w:rsidP="00B04F79">
      <w:pPr>
        <w:pStyle w:val="ListParagraph"/>
        <w:numPr>
          <w:ilvl w:val="0"/>
          <w:numId w:val="21"/>
        </w:numPr>
        <w:rPr>
          <w:rFonts w:eastAsiaTheme="minorEastAsia"/>
        </w:rPr>
      </w:pPr>
      <w:r w:rsidRPr="000F40CD">
        <w:rPr>
          <w:rFonts w:eastAsiaTheme="minorEastAsia"/>
          <w:u w:val="single"/>
        </w:rPr>
        <w:t>Conclusion</w:t>
      </w:r>
      <w:r>
        <w:rPr>
          <w:rFonts w:eastAsiaTheme="minorEastAsia"/>
        </w:rPr>
        <w:t xml:space="preserve">: </w:t>
      </w:r>
    </w:p>
    <w:p w14:paraId="2E9741BA" w14:textId="77777777" w:rsidR="00B04F79" w:rsidRDefault="00B04F79" w:rsidP="00B04F79">
      <w:pPr>
        <w:pStyle w:val="ListParagraph"/>
        <w:numPr>
          <w:ilvl w:val="1"/>
          <w:numId w:val="21"/>
        </w:numPr>
        <w:rPr>
          <w:rFonts w:eastAsiaTheme="minorEastAsia"/>
        </w:rPr>
      </w:pPr>
      <w:r>
        <w:rPr>
          <w:rFonts w:eastAsiaTheme="minorEastAsia"/>
        </w:rPr>
        <w:t>The term “fully reflects” in the efficient securities market definition has to be interpreted with care</w:t>
      </w:r>
    </w:p>
    <w:p w14:paraId="7BC14C11" w14:textId="77777777" w:rsidR="00B04F79" w:rsidRDefault="00B04F79" w:rsidP="00B04F79">
      <w:pPr>
        <w:pStyle w:val="ListParagraph"/>
        <w:numPr>
          <w:ilvl w:val="1"/>
          <w:numId w:val="21"/>
        </w:numPr>
        <w:rPr>
          <w:rFonts w:eastAsiaTheme="minorEastAsia"/>
        </w:rPr>
      </w:pPr>
      <w:r>
        <w:rPr>
          <w:rFonts w:eastAsiaTheme="minorEastAsia"/>
        </w:rPr>
        <w:t>If they did, it would have adverse effects on the usefulness of financial statements</w:t>
      </w:r>
    </w:p>
    <w:p w14:paraId="41901DAA" w14:textId="77777777" w:rsidR="00B04F79" w:rsidRDefault="00B04F79" w:rsidP="00B04F79">
      <w:pPr>
        <w:pStyle w:val="ListParagraph"/>
        <w:numPr>
          <w:ilvl w:val="1"/>
          <w:numId w:val="21"/>
        </w:numPr>
        <w:rPr>
          <w:rFonts w:eastAsiaTheme="minorEastAsia"/>
        </w:rPr>
      </w:pPr>
      <w:r>
        <w:rPr>
          <w:rFonts w:eastAsiaTheme="minorEastAsia"/>
        </w:rPr>
        <w:t xml:space="preserve">Rather, </w:t>
      </w:r>
      <w:r w:rsidRPr="000F40CD">
        <w:rPr>
          <w:rFonts w:eastAsiaTheme="minorEastAsia"/>
          <w:highlight w:val="yellow"/>
        </w:rPr>
        <w:t>security prices are partially informative</w:t>
      </w:r>
    </w:p>
    <w:p w14:paraId="50CED567" w14:textId="77777777" w:rsidR="00B04F79" w:rsidRDefault="00B04F79" w:rsidP="00B04F79">
      <w:pPr>
        <w:pStyle w:val="ListParagraph"/>
        <w:numPr>
          <w:ilvl w:val="1"/>
          <w:numId w:val="21"/>
        </w:numPr>
        <w:rPr>
          <w:rFonts w:eastAsiaTheme="minorEastAsia"/>
        </w:rPr>
      </w:pPr>
      <w:r>
        <w:rPr>
          <w:rFonts w:eastAsiaTheme="minorEastAsia"/>
        </w:rPr>
        <w:t xml:space="preserve">Partial </w:t>
      </w:r>
      <w:proofErr w:type="spellStart"/>
      <w:r>
        <w:rPr>
          <w:rFonts w:eastAsiaTheme="minorEastAsia"/>
        </w:rPr>
        <w:t>informativeness</w:t>
      </w:r>
      <w:proofErr w:type="spellEnd"/>
      <w:r>
        <w:rPr>
          <w:rFonts w:eastAsiaTheme="minorEastAsia"/>
        </w:rPr>
        <w:t xml:space="preserve"> reflects a tension between the level of </w:t>
      </w:r>
      <w:proofErr w:type="spellStart"/>
      <w:r>
        <w:rPr>
          <w:rFonts w:eastAsiaTheme="minorEastAsia"/>
        </w:rPr>
        <w:t>informativeness</w:t>
      </w:r>
      <w:proofErr w:type="spellEnd"/>
      <w:r>
        <w:rPr>
          <w:rFonts w:eastAsiaTheme="minorEastAsia"/>
        </w:rPr>
        <w:t xml:space="preserve"> that remains in the presence of noise and liquidity traders, and the ability of investors to identify mispriced securities through</w:t>
      </w:r>
    </w:p>
    <w:p w14:paraId="29DDB7AC" w14:textId="77777777" w:rsidR="00B04F79" w:rsidRDefault="00B04F79" w:rsidP="00B04F79">
      <w:pPr>
        <w:pStyle w:val="ListParagraph"/>
        <w:numPr>
          <w:ilvl w:val="2"/>
          <w:numId w:val="21"/>
        </w:numPr>
        <w:rPr>
          <w:rFonts w:eastAsiaTheme="minorEastAsia"/>
        </w:rPr>
      </w:pPr>
      <w:r>
        <w:rPr>
          <w:rFonts w:eastAsiaTheme="minorEastAsia"/>
        </w:rPr>
        <w:t>Private information (analysis of financial statements)</w:t>
      </w:r>
    </w:p>
    <w:p w14:paraId="39DC0080" w14:textId="77777777" w:rsidR="00B04F79" w:rsidRDefault="000F40CD" w:rsidP="00B04F79">
      <w:pPr>
        <w:pStyle w:val="ListParagraph"/>
        <w:numPr>
          <w:ilvl w:val="2"/>
          <w:numId w:val="21"/>
        </w:numPr>
        <w:rPr>
          <w:rFonts w:eastAsiaTheme="minorEastAsia"/>
        </w:rPr>
      </w:pPr>
      <w:r>
        <w:rPr>
          <w:rFonts w:eastAsiaTheme="minorEastAsia"/>
        </w:rPr>
        <w:t>Supplementary</w:t>
      </w:r>
      <w:r w:rsidR="00B04F79">
        <w:rPr>
          <w:rFonts w:eastAsiaTheme="minorEastAsia"/>
        </w:rPr>
        <w:t xml:space="preserve"> disclosures (MD&amp;A)</w:t>
      </w:r>
    </w:p>
    <w:p w14:paraId="480BFF1F" w14:textId="77777777" w:rsidR="00B04F79" w:rsidRDefault="00B04F79" w:rsidP="00B04F79">
      <w:pPr>
        <w:pStyle w:val="ListParagraph"/>
        <w:numPr>
          <w:ilvl w:val="2"/>
          <w:numId w:val="21"/>
        </w:numPr>
        <w:rPr>
          <w:rFonts w:eastAsiaTheme="minorEastAsia"/>
        </w:rPr>
      </w:pPr>
      <w:r>
        <w:rPr>
          <w:rFonts w:eastAsiaTheme="minorEastAsia"/>
        </w:rPr>
        <w:t>Accounting policy choice (</w:t>
      </w:r>
      <w:proofErr w:type="spellStart"/>
      <w:r>
        <w:rPr>
          <w:rFonts w:eastAsiaTheme="minorEastAsia"/>
        </w:rPr>
        <w:t>conservativism</w:t>
      </w:r>
      <w:proofErr w:type="spellEnd"/>
      <w:r>
        <w:rPr>
          <w:rFonts w:eastAsiaTheme="minorEastAsia"/>
        </w:rPr>
        <w:t xml:space="preserve"> may indicate higher future earnings)</w:t>
      </w:r>
    </w:p>
    <w:p w14:paraId="0F473330" w14:textId="77777777" w:rsidR="00B04F79" w:rsidRDefault="00B04F79" w:rsidP="00B04F79">
      <w:pPr>
        <w:pStyle w:val="ListParagraph"/>
        <w:numPr>
          <w:ilvl w:val="2"/>
          <w:numId w:val="21"/>
        </w:numPr>
        <w:rPr>
          <w:rFonts w:eastAsiaTheme="minorEastAsia"/>
        </w:rPr>
      </w:pPr>
      <w:r>
        <w:rPr>
          <w:rFonts w:eastAsiaTheme="minorEastAsia"/>
        </w:rPr>
        <w:t>The nature and extent of voluntary disclosure</w:t>
      </w:r>
    </w:p>
    <w:p w14:paraId="398373A2" w14:textId="77777777" w:rsidR="00B04F79" w:rsidRDefault="00B04F79" w:rsidP="00B04F79">
      <w:pPr>
        <w:pStyle w:val="ListParagraph"/>
        <w:numPr>
          <w:ilvl w:val="2"/>
          <w:numId w:val="21"/>
        </w:numPr>
        <w:rPr>
          <w:rFonts w:eastAsiaTheme="minorEastAsia"/>
        </w:rPr>
      </w:pPr>
      <w:r>
        <w:rPr>
          <w:rFonts w:eastAsiaTheme="minorEastAsia"/>
        </w:rPr>
        <w:t xml:space="preserve">All other available information </w:t>
      </w:r>
    </w:p>
    <w:p w14:paraId="02F7D45D" w14:textId="77777777" w:rsidR="000F40CD" w:rsidRDefault="000F40CD" w:rsidP="000F40CD">
      <w:pPr>
        <w:rPr>
          <w:rFonts w:eastAsiaTheme="minorEastAsia"/>
        </w:rPr>
      </w:pPr>
      <w:r>
        <w:rPr>
          <w:rFonts w:eastAsiaTheme="minorEastAsia"/>
          <w:noProof/>
          <w:lang w:val="en-US"/>
        </w:rPr>
        <w:drawing>
          <wp:inline distT="0" distB="0" distL="0" distR="0" wp14:anchorId="4085D23F" wp14:editId="68DF93AD">
            <wp:extent cx="6334125" cy="2838450"/>
            <wp:effectExtent l="25400" t="25400" r="0" b="317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89AA456" w14:textId="77777777" w:rsidR="00620A21" w:rsidRPr="00EA5560" w:rsidRDefault="00620A21" w:rsidP="000F40CD">
      <w:pPr>
        <w:rPr>
          <w:rFonts w:eastAsiaTheme="minorEastAsia"/>
          <w:b/>
        </w:rPr>
      </w:pPr>
      <w:r w:rsidRPr="00EA5560">
        <w:rPr>
          <w:rFonts w:eastAsiaTheme="minorEastAsia"/>
          <w:b/>
        </w:rPr>
        <w:t>4.5 Capital Asset Pricing Model</w:t>
      </w:r>
    </w:p>
    <w:p w14:paraId="5F9F6C0E" w14:textId="77777777" w:rsidR="00AE4A0E" w:rsidRDefault="00AE4A0E" w:rsidP="00AE4A0E">
      <w:pPr>
        <w:pStyle w:val="ListParagraph"/>
        <w:numPr>
          <w:ilvl w:val="0"/>
          <w:numId w:val="22"/>
        </w:numPr>
      </w:pPr>
      <w:r>
        <w:t>CAPM is a model that describes the relationship between the efficient market price of a security, its risk, and the expected rate of return on a security</w:t>
      </w:r>
    </w:p>
    <w:p w14:paraId="02014CC0" w14:textId="77777777" w:rsidR="00705249" w:rsidRDefault="00705249" w:rsidP="00AE4A0E">
      <w:pPr>
        <w:pStyle w:val="ListParagraph"/>
        <w:numPr>
          <w:ilvl w:val="0"/>
          <w:numId w:val="22"/>
        </w:numPr>
      </w:pPr>
      <w:r>
        <w:t>Assumptions of CAPM:</w:t>
      </w:r>
    </w:p>
    <w:p w14:paraId="06EA184D" w14:textId="77777777" w:rsidR="00705249" w:rsidRDefault="00705249" w:rsidP="00705249">
      <w:pPr>
        <w:pStyle w:val="ListParagraph"/>
        <w:numPr>
          <w:ilvl w:val="1"/>
          <w:numId w:val="22"/>
        </w:numPr>
      </w:pPr>
      <w:r>
        <w:t>1. Investors are rational and risk averse</w:t>
      </w:r>
    </w:p>
    <w:p w14:paraId="5DB2FE71" w14:textId="77777777" w:rsidR="00705249" w:rsidRDefault="00705249" w:rsidP="00705249">
      <w:pPr>
        <w:pStyle w:val="ListParagraph"/>
        <w:numPr>
          <w:ilvl w:val="1"/>
          <w:numId w:val="22"/>
        </w:numPr>
      </w:pPr>
      <w:r>
        <w:t>2. There are zero transaction costs (assuming investors fully diversify their portfolios)</w:t>
      </w:r>
    </w:p>
    <w:p w14:paraId="36D815ED" w14:textId="77777777" w:rsidR="00705249" w:rsidRDefault="00705249" w:rsidP="00705249">
      <w:pPr>
        <w:pStyle w:val="ListParagraph"/>
        <w:numPr>
          <w:ilvl w:val="1"/>
          <w:numId w:val="22"/>
        </w:numPr>
      </w:pPr>
      <w:r>
        <w:t>3. The market is efficient</w:t>
      </w:r>
    </w:p>
    <w:p w14:paraId="1ACDEA56" w14:textId="77777777" w:rsidR="00705249" w:rsidRDefault="00705249" w:rsidP="00705249">
      <w:pPr>
        <w:pStyle w:val="ListParagraph"/>
        <w:numPr>
          <w:ilvl w:val="1"/>
          <w:numId w:val="22"/>
        </w:numPr>
      </w:pPr>
      <w:r>
        <w:lastRenderedPageBreak/>
        <w:t>4. There is a risk free asset in the economy</w:t>
      </w:r>
    </w:p>
    <w:p w14:paraId="68A3926C" w14:textId="77777777" w:rsidR="00AE4A0E" w:rsidRDefault="00AE4A0E" w:rsidP="00AE4A0E">
      <w:pPr>
        <w:pStyle w:val="ListParagraph"/>
        <w:numPr>
          <w:ilvl w:val="0"/>
          <w:numId w:val="22"/>
        </w:numPr>
      </w:pPr>
      <w:r>
        <w:t>The model is in terms of the market’s expected returns</w:t>
      </w:r>
    </w:p>
    <w:p w14:paraId="66352761" w14:textId="77777777" w:rsidR="00AE4A0E" w:rsidRDefault="00AE4A0E" w:rsidP="00AE4A0E">
      <w:pPr>
        <w:pStyle w:val="ListParagraph"/>
        <w:numPr>
          <w:ilvl w:val="1"/>
          <w:numId w:val="22"/>
        </w:numPr>
      </w:pPr>
      <w:r>
        <w:t>The market price of a share includes a sort of average of the expectations of all informed investors</w:t>
      </w:r>
    </w:p>
    <w:p w14:paraId="20348E87" w14:textId="77777777" w:rsidR="00AE4A0E" w:rsidRDefault="00AE4A0E" w:rsidP="00AE4A0E">
      <w:pPr>
        <w:pStyle w:val="ListParagraph"/>
        <w:numPr>
          <w:ilvl w:val="0"/>
          <w:numId w:val="22"/>
        </w:numPr>
      </w:pPr>
      <w:r>
        <w:t>This model also assumes that transaction costs = 0</w:t>
      </w:r>
    </w:p>
    <w:p w14:paraId="1B4CA62A" w14:textId="77777777" w:rsidR="00AE4A0E" w:rsidRDefault="00AE4A0E" w:rsidP="00AE4A0E">
      <w:pPr>
        <w:pStyle w:val="ListParagraph"/>
        <w:numPr>
          <w:ilvl w:val="1"/>
          <w:numId w:val="22"/>
        </w:numPr>
      </w:pPr>
      <w:r>
        <w:t>Since rational investors will fully diversify when transaction costs are zero, the only risk measure in the formula is beta (firm specific risk does not affect share price because it disappears in fully diversified portfolios)</w:t>
      </w:r>
    </w:p>
    <w:p w14:paraId="668F59EB" w14:textId="77777777" w:rsidR="00AE4A0E" w:rsidRDefault="00AE4A0E" w:rsidP="00AE4A0E">
      <w:pPr>
        <w:pStyle w:val="ListParagraph"/>
        <w:numPr>
          <w:ilvl w:val="2"/>
          <w:numId w:val="22"/>
        </w:numPr>
      </w:pPr>
      <w:r>
        <w:t>The higher beta is, the higher the expected return</w:t>
      </w:r>
    </w:p>
    <w:p w14:paraId="24798336" w14:textId="77777777" w:rsidR="00AE4A0E" w:rsidRDefault="00AE4A0E" w:rsidP="00AE4A0E">
      <w:pPr>
        <w:pStyle w:val="ListParagraph"/>
        <w:numPr>
          <w:ilvl w:val="2"/>
          <w:numId w:val="22"/>
        </w:numPr>
      </w:pPr>
      <w:r>
        <w:t>Consistent w/ risk aversion because risk-averse investors will require a higher expected return to compensate for higher expected risk</w:t>
      </w:r>
    </w:p>
    <w:p w14:paraId="64AB653D" w14:textId="77777777" w:rsidR="00AE4A0E" w:rsidRDefault="00AE4A0E" w:rsidP="00AE4A0E">
      <w:pPr>
        <w:pStyle w:val="ListParagraph"/>
        <w:numPr>
          <w:ilvl w:val="0"/>
          <w:numId w:val="22"/>
        </w:numPr>
        <w:jc w:val="both"/>
      </w:pPr>
      <w:r w:rsidRPr="00AE4A0E">
        <w:rPr>
          <w:bCs/>
        </w:rPr>
        <w:t>The beta coefficient as applied in CAPM</w:t>
      </w:r>
      <w:r>
        <w:t xml:space="preserve"> is a</w:t>
      </w:r>
      <w:r w:rsidRPr="00B14430">
        <w:t xml:space="preserve"> measure of the </w:t>
      </w:r>
      <w:r>
        <w:t xml:space="preserve">volatility of a share </w:t>
      </w:r>
    </w:p>
    <w:p w14:paraId="1E57BEF6" w14:textId="77777777" w:rsidR="00AE4A0E" w:rsidRDefault="00AE4A0E" w:rsidP="00AE4A0E">
      <w:pPr>
        <w:pStyle w:val="ListParagraph"/>
        <w:numPr>
          <w:ilvl w:val="1"/>
          <w:numId w:val="22"/>
        </w:numPr>
        <w:jc w:val="both"/>
      </w:pPr>
      <w:r>
        <w:t xml:space="preserve">Beta </w:t>
      </w:r>
      <w:r w:rsidRPr="00B14430">
        <w:t>measures how strongly the return on</w:t>
      </w:r>
      <w:r>
        <w:t xml:space="preserve"> A varies as the market varies</w:t>
      </w:r>
    </w:p>
    <w:p w14:paraId="2745A921" w14:textId="77777777" w:rsidR="00AE4A0E" w:rsidRDefault="00AE4A0E" w:rsidP="00AE4A0E">
      <w:pPr>
        <w:pStyle w:val="ListParagraph"/>
        <w:numPr>
          <w:ilvl w:val="1"/>
          <w:numId w:val="22"/>
        </w:numPr>
        <w:jc w:val="both"/>
      </w:pPr>
      <w:r w:rsidRPr="00B14430">
        <w:t>A share with a high beta coefficient is likely to respond to stock market movements by rising or falling in value by more than the market average</w:t>
      </w:r>
      <w:r>
        <w:t xml:space="preserve"> – higher risk</w:t>
      </w:r>
    </w:p>
    <w:p w14:paraId="36760E96" w14:textId="77777777" w:rsidR="00705249" w:rsidRPr="00B14430" w:rsidRDefault="00705249" w:rsidP="00705249">
      <w:pPr>
        <w:pStyle w:val="ListParagraph"/>
        <w:numPr>
          <w:ilvl w:val="0"/>
          <w:numId w:val="22"/>
        </w:numPr>
        <w:jc w:val="both"/>
      </w:pPr>
      <w:r>
        <w:t>We assume firms do not have specific risks – the only risk is that represented by beta</w:t>
      </w:r>
    </w:p>
    <w:p w14:paraId="6A1A61CA" w14:textId="77777777" w:rsidR="00AE4A0E" w:rsidRDefault="000006CD" w:rsidP="00AE4A0E">
      <w:pPr>
        <w:pStyle w:val="ListParagraph"/>
        <w:numPr>
          <w:ilvl w:val="0"/>
          <w:numId w:val="22"/>
        </w:numPr>
      </w:pPr>
      <w:r>
        <w:t>The expected return for a period is based on the expected price at the end of the period plus any dividends expected during the period, divided by the current price</w:t>
      </w:r>
    </w:p>
    <w:p w14:paraId="11265F4C" w14:textId="77777777" w:rsidR="000006CD" w:rsidRPr="000E63C8" w:rsidRDefault="00705249" w:rsidP="00AE4A0E">
      <w:pPr>
        <w:pStyle w:val="ListParagraph"/>
        <w:numPr>
          <w:ilvl w:val="0"/>
          <w:numId w:val="22"/>
        </w:numPr>
        <w:rPr>
          <w:highlight w:val="cyan"/>
        </w:rPr>
      </w:pPr>
      <m:oMath>
        <m:r>
          <w:rPr>
            <w:rFonts w:ascii="Cambria Math" w:hAnsi="Cambria Math"/>
            <w:highlight w:val="cyan"/>
          </w:rPr>
          <m:t>E</m:t>
        </m:r>
        <m:d>
          <m:dPr>
            <m:ctrlPr>
              <w:rPr>
                <w:rFonts w:ascii="Cambria Math" w:hAnsi="Cambria Math"/>
                <w:i/>
                <w:highlight w:val="cyan"/>
              </w:rPr>
            </m:ctrlPr>
          </m:dPr>
          <m:e>
            <m:r>
              <w:rPr>
                <w:rFonts w:ascii="Cambria Math" w:hAnsi="Cambria Math"/>
                <w:highlight w:val="cyan"/>
              </w:rPr>
              <m:t>R</m:t>
            </m:r>
          </m:e>
        </m:d>
        <m:r>
          <w:rPr>
            <w:rFonts w:ascii="Cambria Math" w:hAnsi="Cambria Math"/>
            <w:highlight w:val="cyan"/>
          </w:rPr>
          <m:t>=</m:t>
        </m:r>
        <m:d>
          <m:dPr>
            <m:begChr m:val="["/>
            <m:endChr m:val="]"/>
            <m:ctrlPr>
              <w:rPr>
                <w:rFonts w:ascii="Cambria Math" w:hAnsi="Cambria Math"/>
                <w:i/>
                <w:highlight w:val="cyan"/>
              </w:rPr>
            </m:ctrlPr>
          </m:dPr>
          <m:e>
            <m:f>
              <m:fPr>
                <m:ctrlPr>
                  <w:rPr>
                    <w:rFonts w:ascii="Cambria Math" w:hAnsi="Cambria Math"/>
                    <w:i/>
                    <w:highlight w:val="cyan"/>
                  </w:rPr>
                </m:ctrlPr>
              </m:fPr>
              <m:num>
                <m:r>
                  <w:rPr>
                    <w:rFonts w:ascii="Cambria Math" w:hAnsi="Cambria Math"/>
                    <w:highlight w:val="cyan"/>
                  </w:rPr>
                  <m:t>E (P+D)</m:t>
                </m:r>
              </m:num>
              <m:den>
                <m:r>
                  <w:rPr>
                    <w:rFonts w:ascii="Cambria Math" w:hAnsi="Cambria Math"/>
                    <w:highlight w:val="cyan"/>
                  </w:rPr>
                  <m:t xml:space="preserve">Current P </m:t>
                </m:r>
              </m:den>
            </m:f>
            <m:r>
              <w:rPr>
                <w:rFonts w:ascii="Cambria Math" w:hAnsi="Cambria Math"/>
                <w:highlight w:val="cyan"/>
              </w:rPr>
              <m:t>-1</m:t>
            </m:r>
          </m:e>
        </m:d>
        <m:r>
          <w:rPr>
            <w:rFonts w:ascii="Cambria Math" w:hAnsi="Cambria Math"/>
            <w:highlight w:val="cyan"/>
          </w:rPr>
          <m:t xml:space="preserve">= </m:t>
        </m:r>
        <m:d>
          <m:dPr>
            <m:begChr m:val="["/>
            <m:endChr m:val="]"/>
            <m:ctrlPr>
              <w:rPr>
                <w:rFonts w:ascii="Cambria Math" w:hAnsi="Cambria Math"/>
                <w:i/>
                <w:highlight w:val="cyan"/>
              </w:rPr>
            </m:ctrlPr>
          </m:dPr>
          <m:e>
            <m:r>
              <w:rPr>
                <w:rFonts w:ascii="Cambria Math" w:hAnsi="Cambria Math"/>
                <w:highlight w:val="cyan"/>
              </w:rPr>
              <m:t>Rf</m:t>
            </m:r>
            <m:d>
              <m:dPr>
                <m:ctrlPr>
                  <w:rPr>
                    <w:rFonts w:ascii="Cambria Math" w:hAnsi="Cambria Math"/>
                    <w:i/>
                    <w:highlight w:val="cyan"/>
                  </w:rPr>
                </m:ctrlPr>
              </m:dPr>
              <m:e>
                <m:r>
                  <w:rPr>
                    <w:rFonts w:ascii="Cambria Math" w:hAnsi="Cambria Math"/>
                    <w:highlight w:val="cyan"/>
                  </w:rPr>
                  <m:t>1- β</m:t>
                </m:r>
              </m:e>
            </m:d>
            <m:r>
              <w:rPr>
                <w:rFonts w:ascii="Cambria Math" w:hAnsi="Cambria Math"/>
                <w:highlight w:val="cyan"/>
              </w:rPr>
              <m:t>+ β(Erm)</m:t>
            </m:r>
          </m:e>
        </m:d>
        <m:r>
          <w:rPr>
            <w:rFonts w:ascii="Cambria Math" w:hAnsi="Cambria Math"/>
            <w:highlight w:val="cyan"/>
          </w:rPr>
          <m:t xml:space="preserve"> </m:t>
        </m:r>
      </m:oMath>
    </w:p>
    <w:p w14:paraId="0822A315" w14:textId="77777777" w:rsidR="000006CD" w:rsidRDefault="000006CD" w:rsidP="00AE4A0E">
      <w:pPr>
        <w:pStyle w:val="ListParagraph"/>
        <w:numPr>
          <w:ilvl w:val="0"/>
          <w:numId w:val="22"/>
        </w:numPr>
      </w:pPr>
      <w:r>
        <w:t>When new information that increases investors’ expectations of share price without affecting the return on a risk-free asset, beta, or expected return on the market, the equation is thrown out of balance</w:t>
      </w:r>
    </w:p>
    <w:p w14:paraId="33D70025" w14:textId="77777777" w:rsidR="000006CD" w:rsidRDefault="000006CD" w:rsidP="000006CD">
      <w:pPr>
        <w:pStyle w:val="ListParagraph"/>
        <w:numPr>
          <w:ilvl w:val="1"/>
          <w:numId w:val="22"/>
        </w:numPr>
      </w:pPr>
      <w:r>
        <w:t xml:space="preserve">So the </w:t>
      </w:r>
      <w:proofErr w:type="gramStart"/>
      <w:r>
        <w:t>current  price</w:t>
      </w:r>
      <w:proofErr w:type="gramEnd"/>
      <w:r>
        <w:t xml:space="preserve"> of the firm’s shares must rise to restore equality</w:t>
      </w:r>
    </w:p>
    <w:p w14:paraId="5A2D6907" w14:textId="77777777" w:rsidR="000006CD" w:rsidRDefault="000006CD" w:rsidP="000006CD">
      <w:pPr>
        <w:pStyle w:val="ListParagraph"/>
        <w:numPr>
          <w:ilvl w:val="1"/>
          <w:numId w:val="22"/>
        </w:numPr>
      </w:pPr>
      <w:r>
        <w:t xml:space="preserve">This is consistent with market efficiency, which states that the market price of a security will react immediately to new information </w:t>
      </w:r>
    </w:p>
    <w:p w14:paraId="1B23065D" w14:textId="77777777" w:rsidR="000006CD" w:rsidRDefault="000006CD" w:rsidP="000006CD">
      <w:pPr>
        <w:pStyle w:val="ListParagraph"/>
        <w:numPr>
          <w:ilvl w:val="0"/>
          <w:numId w:val="22"/>
        </w:numPr>
      </w:pPr>
      <w:r>
        <w:t>There are three main uses for the CAPM formula from the perspective of financial accounting theory:</w:t>
      </w:r>
    </w:p>
    <w:p w14:paraId="29B7E8F1" w14:textId="77777777" w:rsidR="000006CD" w:rsidRDefault="000E63C8" w:rsidP="000E63C8">
      <w:r w:rsidRPr="000E63C8">
        <w:rPr>
          <w:highlight w:val="yellow"/>
        </w:rPr>
        <w:t xml:space="preserve">1. </w:t>
      </w:r>
      <w:r w:rsidR="000006CD" w:rsidRPr="000E63C8">
        <w:rPr>
          <w:highlight w:val="yellow"/>
        </w:rPr>
        <w:t>The CAPM details clearly how share price depends on investors’ expectations of future share price and dividends</w:t>
      </w:r>
    </w:p>
    <w:p w14:paraId="0F702026" w14:textId="77777777" w:rsidR="000006CD" w:rsidRDefault="000006CD" w:rsidP="007C383F">
      <w:pPr>
        <w:pStyle w:val="ListParagraph"/>
        <w:numPr>
          <w:ilvl w:val="0"/>
          <w:numId w:val="24"/>
        </w:numPr>
      </w:pPr>
      <w:r>
        <w:t xml:space="preserve">When expectations change, current share price will change to </w:t>
      </w:r>
      <w:r w:rsidR="00705249">
        <w:t>reflect the new expectations</w:t>
      </w:r>
    </w:p>
    <w:p w14:paraId="5B8E06ED" w14:textId="77777777" w:rsidR="00705249" w:rsidRDefault="00705249" w:rsidP="000E63C8">
      <w:pPr>
        <w:pStyle w:val="ListParagraph"/>
        <w:numPr>
          <w:ilvl w:val="1"/>
          <w:numId w:val="22"/>
        </w:numPr>
      </w:pPr>
      <w:r>
        <w:t>The larger the change in expectations, the larger the change in price</w:t>
      </w:r>
    </w:p>
    <w:p w14:paraId="72ACA9FB" w14:textId="77777777" w:rsidR="000006CD" w:rsidRDefault="000E63C8" w:rsidP="000E63C8">
      <w:r w:rsidRPr="000E63C8">
        <w:rPr>
          <w:highlight w:val="yellow"/>
        </w:rPr>
        <w:t xml:space="preserve">2. </w:t>
      </w:r>
      <w:r w:rsidR="000006CD" w:rsidRPr="000E63C8">
        <w:rPr>
          <w:highlight w:val="yellow"/>
        </w:rPr>
        <w:t xml:space="preserve">The empirical form of CAPM, which is called the </w:t>
      </w:r>
      <w:r w:rsidR="000006CD" w:rsidRPr="000E63C8">
        <w:rPr>
          <w:b/>
          <w:bCs/>
          <w:highlight w:val="yellow"/>
        </w:rPr>
        <w:t>market model</w:t>
      </w:r>
      <w:proofErr w:type="gramStart"/>
      <w:r w:rsidR="000006CD" w:rsidRPr="000E63C8">
        <w:rPr>
          <w:b/>
          <w:bCs/>
          <w:highlight w:val="yellow"/>
        </w:rPr>
        <w:t xml:space="preserve">, </w:t>
      </w:r>
      <w:r w:rsidR="000006CD" w:rsidRPr="000E63C8">
        <w:rPr>
          <w:highlight w:val="yellow"/>
        </w:rPr>
        <w:t xml:space="preserve"> provides</w:t>
      </w:r>
      <w:proofErr w:type="gramEnd"/>
      <w:r w:rsidR="000006CD" w:rsidRPr="000E63C8">
        <w:rPr>
          <w:highlight w:val="yellow"/>
        </w:rPr>
        <w:t xml:space="preserve"> a way of separating realized return on shares into expected and unexpected (abnormal) returns (market model).</w:t>
      </w:r>
    </w:p>
    <w:p w14:paraId="6501F3FF" w14:textId="77777777" w:rsidR="00A0420C" w:rsidRDefault="00A0420C" w:rsidP="000E63C8">
      <w:pPr>
        <w:pStyle w:val="ListParagraph"/>
        <w:numPr>
          <w:ilvl w:val="0"/>
          <w:numId w:val="22"/>
        </w:numPr>
      </w:pPr>
      <w:r>
        <w:t>Under market model we use realized return</w:t>
      </w:r>
    </w:p>
    <w:p w14:paraId="16FA7A8C" w14:textId="77777777" w:rsidR="00A0420C" w:rsidRDefault="00A0420C" w:rsidP="000E63C8">
      <w:pPr>
        <w:pStyle w:val="ListParagraph"/>
        <w:numPr>
          <w:ilvl w:val="0"/>
          <w:numId w:val="22"/>
        </w:numPr>
      </w:pPr>
      <w:r>
        <w:t>Under CAPM we use expected return</w:t>
      </w:r>
    </w:p>
    <w:p w14:paraId="223BF878" w14:textId="77777777" w:rsidR="000E63C8" w:rsidRDefault="000E63C8" w:rsidP="00A0420C"/>
    <w:p w14:paraId="71B7E27E" w14:textId="77777777" w:rsidR="000E63C8" w:rsidRDefault="000E63C8" w:rsidP="00A0420C"/>
    <w:p w14:paraId="3678DFE1" w14:textId="77777777" w:rsidR="00A0420C" w:rsidRPr="00A0420C" w:rsidRDefault="000679A8" w:rsidP="00A0420C">
      <w:pPr>
        <w:rPr>
          <w:b/>
        </w:rPr>
      </w:pPr>
      <w:r>
        <w:rPr>
          <w:b/>
          <w:noProof/>
          <w:lang w:eastAsia="en-CA"/>
        </w:rPr>
        <w:lastRenderedPageBreak/>
        <w:pict w14:anchorId="6431370D">
          <v:rect id="_x0000_s1046" style="position:absolute;margin-left:-3.75pt;margin-top:21.35pt;width:206.25pt;height:53.65pt;z-index:251678720" filled="f" strokecolor="#0070c0" strokeweight="1.5pt"/>
        </w:pict>
      </w:r>
      <w:r>
        <w:rPr>
          <w:b/>
          <w:noProof/>
          <w:lang w:eastAsia="en-CA"/>
        </w:rPr>
        <w:pict w14:anchorId="4F19DA71">
          <v:shape id="_x0000_s1043" type="#_x0000_t202" style="position:absolute;margin-left:183pt;margin-top:-18.75pt;width:1in;height:40.1pt;z-index:251675648" stroked="f">
            <v:textbox>
              <w:txbxContent>
                <w:p w14:paraId="2DDB0E15" w14:textId="77777777" w:rsidR="005C38F6" w:rsidRPr="00A0420C" w:rsidRDefault="005C38F6">
                  <w:pPr>
                    <w:rPr>
                      <w:color w:val="FF0000"/>
                    </w:rPr>
                  </w:pPr>
                  <w:r>
                    <w:rPr>
                      <w:color w:val="FF0000"/>
                    </w:rPr>
                    <w:t>EXPECTED</w:t>
                  </w:r>
                  <w:r w:rsidRPr="00A0420C">
                    <w:rPr>
                      <w:color w:val="FF0000"/>
                    </w:rPr>
                    <w:t xml:space="preserve"> RETURN</w:t>
                  </w:r>
                </w:p>
              </w:txbxContent>
            </v:textbox>
          </v:shape>
        </w:pict>
      </w:r>
      <w:r>
        <w:rPr>
          <w:b/>
          <w:noProof/>
          <w:lang w:eastAsia="en-CA"/>
        </w:rPr>
        <w:pict w14:anchorId="2DDE1065">
          <v:shape id="_x0000_s1042" type="#_x0000_t32" style="position:absolute;margin-left:102.75pt;margin-top:7.5pt;width:80.25pt;height:24.4pt;flip:y;z-index:251674624" o:connectortype="straight" strokecolor="red">
            <v:stroke endarrow="block"/>
          </v:shape>
        </w:pict>
      </w:r>
      <w:r w:rsidR="00A0420C">
        <w:rPr>
          <w:b/>
        </w:rPr>
        <w:t>The Market M</w:t>
      </w:r>
      <w:r w:rsidR="00A0420C" w:rsidRPr="00A0420C">
        <w:rPr>
          <w:b/>
        </w:rPr>
        <w:t>odel:</w:t>
      </w:r>
    </w:p>
    <w:p w14:paraId="563187FD" w14:textId="77777777" w:rsidR="00A0420C" w:rsidRDefault="000679A8" w:rsidP="00A0420C">
      <w:pPr>
        <w:pStyle w:val="ListParagraph"/>
        <w:ind w:left="360"/>
      </w:pPr>
      <w:r>
        <w:rPr>
          <w:noProof/>
          <w:lang w:eastAsia="en-CA"/>
        </w:rPr>
        <w:pict w14:anchorId="3B27C962">
          <v:shape id="_x0000_s1045" type="#_x0000_t202" style="position:absolute;left:0;text-align:left;margin-left:249pt;margin-top:6.45pt;width:92.25pt;height:54.75pt;z-index:251677696" stroked="f">
            <v:textbox>
              <w:txbxContent>
                <w:p w14:paraId="77949272" w14:textId="77777777" w:rsidR="005C38F6" w:rsidRPr="00A0420C" w:rsidRDefault="005C38F6">
                  <w:pPr>
                    <w:rPr>
                      <w:color w:val="FF0000"/>
                    </w:rPr>
                  </w:pPr>
                  <w:r w:rsidRPr="00A0420C">
                    <w:rPr>
                      <w:color w:val="FF0000"/>
                    </w:rPr>
                    <w:t>UNEXPECTED (ABNORMAL) RETURN</w:t>
                  </w:r>
                </w:p>
              </w:txbxContent>
            </v:textbox>
          </v:shape>
        </w:pict>
      </w:r>
      <w:r>
        <w:rPr>
          <w:noProof/>
          <w:lang w:eastAsia="en-CA"/>
        </w:rPr>
        <w:pict w14:anchorId="00659484">
          <v:oval id="_x0000_s1041" style="position:absolute;left:0;text-align:left;margin-left:171.75pt;margin-top:13.95pt;width:23.25pt;height:27.25pt;z-index:251673600" filled="f" strokecolor="red"/>
        </w:pict>
      </w:r>
      <m:oMath>
        <m:r>
          <m:rPr>
            <m:sty m:val="p"/>
          </m:rPr>
          <w:rPr>
            <w:rFonts w:ascii="Cambria Math" w:hAnsi="Cambria Math"/>
            <w:noProof/>
            <w:lang w:eastAsia="en-CA"/>
          </w:rPr>
          <w:pict w14:anchorId="53FF2C3F">
            <v:oval id="_x0000_s1040" style="position:absolute;left:0;text-align:left;margin-left:9.75pt;margin-top:6.45pt;width:153.75pt;height:34.75pt;z-index:251672576" filled="f" strokecolor="red"/>
          </w:pict>
        </m:r>
      </m:oMath>
    </w:p>
    <w:p w14:paraId="453AD92A" w14:textId="77777777" w:rsidR="00A0420C" w:rsidRPr="00A0420C" w:rsidRDefault="000679A8" w:rsidP="000006CD">
      <w:pPr>
        <w:pStyle w:val="ListParagraph"/>
        <w:numPr>
          <w:ilvl w:val="0"/>
          <w:numId w:val="22"/>
        </w:numPr>
        <w:rPr>
          <w:sz w:val="28"/>
          <w:szCs w:val="28"/>
        </w:rPr>
      </w:pPr>
      <w:r>
        <w:rPr>
          <w:noProof/>
          <w:lang w:eastAsia="en-CA"/>
        </w:rPr>
        <w:pict w14:anchorId="7F5151BD">
          <v:shape id="_x0000_s1044" type="#_x0000_t32" style="position:absolute;left:0;text-align:left;margin-left:195pt;margin-top:13.1pt;width:54pt;height:0;z-index:251676672" o:connectortype="straight" strokecolor="red">
            <v:stroke endarrow="block"/>
          </v:shape>
        </w:pict>
      </w:r>
      <m:oMath>
        <m:d>
          <m:dPr>
            <m:begChr m:val="["/>
            <m:endChr m:val="]"/>
            <m:ctrlPr>
              <w:rPr>
                <w:rFonts w:ascii="Cambria Math" w:hAnsi="Cambria Math"/>
                <w:i/>
                <w:sz w:val="28"/>
                <w:szCs w:val="28"/>
                <w:highlight w:val="yellow"/>
              </w:rPr>
            </m:ctrlPr>
          </m:dPr>
          <m:e>
            <m:r>
              <w:rPr>
                <w:rFonts w:ascii="Cambria Math" w:hAnsi="Cambria Math"/>
                <w:sz w:val="28"/>
                <w:szCs w:val="28"/>
                <w:highlight w:val="yellow"/>
              </w:rPr>
              <m:t>Rf</m:t>
            </m:r>
            <m:d>
              <m:dPr>
                <m:ctrlPr>
                  <w:rPr>
                    <w:rFonts w:ascii="Cambria Math" w:hAnsi="Cambria Math"/>
                    <w:i/>
                    <w:sz w:val="28"/>
                    <w:szCs w:val="28"/>
                    <w:highlight w:val="yellow"/>
                  </w:rPr>
                </m:ctrlPr>
              </m:dPr>
              <m:e>
                <m:r>
                  <w:rPr>
                    <w:rFonts w:ascii="Cambria Math" w:hAnsi="Cambria Math"/>
                    <w:sz w:val="28"/>
                    <w:szCs w:val="28"/>
                    <w:highlight w:val="yellow"/>
                  </w:rPr>
                  <m:t>1- β</m:t>
                </m:r>
              </m:e>
            </m:d>
            <m:r>
              <w:rPr>
                <w:rFonts w:ascii="Cambria Math" w:hAnsi="Cambria Math"/>
                <w:sz w:val="28"/>
                <w:szCs w:val="28"/>
                <w:highlight w:val="yellow"/>
              </w:rPr>
              <m:t>+ β(Erm)</m:t>
            </m:r>
          </m:e>
        </m:d>
        <m:r>
          <w:rPr>
            <w:rFonts w:ascii="Cambria Math" w:hAnsi="Cambria Math"/>
            <w:sz w:val="28"/>
            <w:szCs w:val="28"/>
          </w:rPr>
          <m:t>+ ϵ</m:t>
        </m:r>
      </m:oMath>
    </w:p>
    <w:p w14:paraId="7DA9FB71" w14:textId="77777777" w:rsidR="000E63C8" w:rsidRDefault="000679A8" w:rsidP="000F40CD">
      <w:pPr>
        <w:rPr>
          <w:rFonts w:eastAsiaTheme="minorEastAsia"/>
        </w:rPr>
      </w:pPr>
      <w:r>
        <w:rPr>
          <w:rFonts w:eastAsiaTheme="minorEastAsia"/>
          <w:noProof/>
          <w:lang w:eastAsia="en-CA"/>
        </w:rPr>
        <w:pict w14:anchorId="6DB9BA9D">
          <v:shape id="_x0000_s1048" type="#_x0000_t202" style="position:absolute;margin-left:157.5pt;margin-top:20.95pt;width:97.5pt;height:24pt;z-index:251680768" stroked="f">
            <v:textbox>
              <w:txbxContent>
                <w:p w14:paraId="6CAC6D36" w14:textId="77777777" w:rsidR="005C38F6" w:rsidRPr="00A0420C" w:rsidRDefault="005C38F6">
                  <w:pPr>
                    <w:rPr>
                      <w:color w:val="0070C0"/>
                    </w:rPr>
                  </w:pPr>
                  <w:r w:rsidRPr="00A0420C">
                    <w:rPr>
                      <w:color w:val="0070C0"/>
                    </w:rPr>
                    <w:t>REALIZED RETURN</w:t>
                  </w:r>
                </w:p>
              </w:txbxContent>
            </v:textbox>
          </v:shape>
        </w:pict>
      </w:r>
      <w:r>
        <w:rPr>
          <w:rFonts w:eastAsiaTheme="minorEastAsia"/>
          <w:noProof/>
          <w:lang w:eastAsia="en-CA"/>
        </w:rPr>
        <w:pict w14:anchorId="09391C17">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_x0000_s1047" type="#_x0000_t34" style="position:absolute;margin-left:70.5pt;margin-top:4.45pt;width:87pt;height:27pt;z-index:251679744" o:connectortype="elbow" adj=",-117600,-35379" strokecolor="#0070c0">
            <v:stroke endarrow="block"/>
          </v:shape>
        </w:pict>
      </w:r>
    </w:p>
    <w:p w14:paraId="7D20206C" w14:textId="77777777" w:rsidR="000E63C8" w:rsidRPr="000E63C8" w:rsidRDefault="000E63C8" w:rsidP="000E63C8">
      <w:pPr>
        <w:rPr>
          <w:rFonts w:eastAsiaTheme="minorEastAsia"/>
        </w:rPr>
      </w:pPr>
    </w:p>
    <w:p w14:paraId="5488D189" w14:textId="77777777" w:rsidR="00620A21" w:rsidRDefault="000E63C8" w:rsidP="007C383F">
      <w:pPr>
        <w:pStyle w:val="ListParagraph"/>
        <w:numPr>
          <w:ilvl w:val="0"/>
          <w:numId w:val="23"/>
        </w:numPr>
        <w:rPr>
          <w:rFonts w:eastAsiaTheme="minorEastAsia"/>
        </w:rPr>
      </w:pPr>
      <w:r>
        <w:rPr>
          <w:rFonts w:eastAsiaTheme="minorEastAsia"/>
        </w:rPr>
        <w:t xml:space="preserve">In an efficient market, expected abnormal returns = 0 </w:t>
      </w:r>
    </w:p>
    <w:p w14:paraId="1FDB49D1" w14:textId="77777777" w:rsidR="000E63C8" w:rsidRDefault="000E63C8" w:rsidP="007C383F">
      <w:pPr>
        <w:pStyle w:val="ListParagraph"/>
        <w:numPr>
          <w:ilvl w:val="0"/>
          <w:numId w:val="23"/>
        </w:numPr>
        <w:rPr>
          <w:rFonts w:eastAsiaTheme="minorEastAsia"/>
        </w:rPr>
      </w:pPr>
      <w:r>
        <w:rPr>
          <w:rFonts w:eastAsiaTheme="minorEastAsia"/>
        </w:rPr>
        <w:t>The realized return will depend on what information came along to change the value of abnormal returns</w:t>
      </w:r>
    </w:p>
    <w:p w14:paraId="3AAB909F" w14:textId="77777777" w:rsidR="000E63C8" w:rsidRDefault="000E63C8" w:rsidP="000E63C8">
      <w:r w:rsidRPr="00155C69">
        <w:rPr>
          <w:rFonts w:eastAsiaTheme="minorEastAsia"/>
          <w:highlight w:val="yellow"/>
        </w:rPr>
        <w:t xml:space="preserve">3.  </w:t>
      </w:r>
      <w:r w:rsidRPr="00155C69">
        <w:rPr>
          <w:highlight w:val="yellow"/>
        </w:rPr>
        <w:t>The market model provides a convenient way for researchers and analy</w:t>
      </w:r>
      <w:r w:rsidR="00155C69" w:rsidRPr="00155C69">
        <w:rPr>
          <w:highlight w:val="yellow"/>
        </w:rPr>
        <w:t>sts to estimate a stock’s beta</w:t>
      </w:r>
    </w:p>
    <w:p w14:paraId="62D7F85B" w14:textId="77777777" w:rsidR="00155C69" w:rsidRDefault="00155C69" w:rsidP="007C383F">
      <w:pPr>
        <w:pStyle w:val="ListParagraph"/>
        <w:numPr>
          <w:ilvl w:val="0"/>
          <w:numId w:val="25"/>
        </w:numPr>
      </w:pPr>
      <w:r>
        <w:t xml:space="preserve">CAPM provides an important and useful way to model the market’s expectation of a share’s returns and a firm’s cost of capital, and the model depends crucially on securities market efficiency </w:t>
      </w:r>
    </w:p>
    <w:p w14:paraId="125F97AC" w14:textId="77777777" w:rsidR="00155C69" w:rsidRDefault="00155C69" w:rsidP="007C383F">
      <w:pPr>
        <w:pStyle w:val="ListParagraph"/>
        <w:numPr>
          <w:ilvl w:val="0"/>
          <w:numId w:val="25"/>
        </w:numPr>
      </w:pPr>
      <w:r>
        <w:t>Estimation risk present here too because the estimation for beta may not be completely accurate or beta may change</w:t>
      </w:r>
    </w:p>
    <w:p w14:paraId="784A6870" w14:textId="77777777" w:rsidR="00155C69" w:rsidRPr="00EA5560" w:rsidRDefault="00155C69" w:rsidP="00155C69">
      <w:pPr>
        <w:rPr>
          <w:b/>
        </w:rPr>
      </w:pPr>
      <w:r w:rsidRPr="00EA5560">
        <w:rPr>
          <w:b/>
        </w:rPr>
        <w:t>Two Important Points about CAPM:</w:t>
      </w:r>
    </w:p>
    <w:p w14:paraId="5995916A" w14:textId="77777777" w:rsidR="00155C69" w:rsidRDefault="00155C69" w:rsidP="007C383F">
      <w:pPr>
        <w:pStyle w:val="ListParagraph"/>
        <w:numPr>
          <w:ilvl w:val="0"/>
          <w:numId w:val="25"/>
        </w:numPr>
      </w:pPr>
      <w:r>
        <w:t xml:space="preserve">1. CAPM assumes </w:t>
      </w:r>
      <w:r w:rsidRPr="00155C69">
        <w:rPr>
          <w:u w:val="single"/>
        </w:rPr>
        <w:t>rational expectations</w:t>
      </w:r>
    </w:p>
    <w:p w14:paraId="59F86BBE" w14:textId="77777777" w:rsidR="00155C69" w:rsidRDefault="00155C69" w:rsidP="007C383F">
      <w:pPr>
        <w:pStyle w:val="ListParagraph"/>
        <w:numPr>
          <w:ilvl w:val="1"/>
          <w:numId w:val="25"/>
        </w:numPr>
      </w:pPr>
      <w:r>
        <w:t>Investors are assumed to know stocks’ betas and the expected return on the market</w:t>
      </w:r>
    </w:p>
    <w:p w14:paraId="2A4A48DE" w14:textId="77777777" w:rsidR="00155C69" w:rsidRDefault="00155C69" w:rsidP="007C383F">
      <w:pPr>
        <w:pStyle w:val="ListParagraph"/>
        <w:numPr>
          <w:ilvl w:val="1"/>
          <w:numId w:val="25"/>
        </w:numPr>
        <w:rPr>
          <w:b/>
        </w:rPr>
      </w:pPr>
      <w:r>
        <w:t xml:space="preserve">Since beta and expected return on the market may not be accurately known, </w:t>
      </w:r>
      <w:r w:rsidRPr="00155C69">
        <w:rPr>
          <w:b/>
        </w:rPr>
        <w:t>estimation risk arises</w:t>
      </w:r>
    </w:p>
    <w:p w14:paraId="7EDA3540" w14:textId="77777777" w:rsidR="00155C69" w:rsidRPr="006B37DE" w:rsidRDefault="00155C69" w:rsidP="007C383F">
      <w:pPr>
        <w:pStyle w:val="ListParagraph"/>
        <w:numPr>
          <w:ilvl w:val="1"/>
          <w:numId w:val="25"/>
        </w:numPr>
        <w:rPr>
          <w:b/>
        </w:rPr>
      </w:pPr>
      <w:r>
        <w:t>When mistakes in est</w:t>
      </w:r>
      <w:r w:rsidR="006B37DE">
        <w:t>imates occur, the actual risk borne by the investor will differ from desired risk, distorting the risk/return trade-off</w:t>
      </w:r>
    </w:p>
    <w:p w14:paraId="1439D8D4" w14:textId="77777777" w:rsidR="006B37DE" w:rsidRPr="006B37DE" w:rsidRDefault="006B37DE" w:rsidP="007C383F">
      <w:pPr>
        <w:pStyle w:val="ListParagraph"/>
        <w:numPr>
          <w:ilvl w:val="1"/>
          <w:numId w:val="25"/>
        </w:numPr>
        <w:rPr>
          <w:b/>
        </w:rPr>
      </w:pPr>
      <w:r>
        <w:t>The result is that if different investors have different beta estimates, this will affect their investment decisions, which will introduce additional volatility into share returns over and above that recognized by CAPM – the additional volatility increases beta risk</w:t>
      </w:r>
    </w:p>
    <w:p w14:paraId="0A400B2B" w14:textId="77777777" w:rsidR="006B37DE" w:rsidRPr="006B37DE" w:rsidRDefault="006B37DE" w:rsidP="007C383F">
      <w:pPr>
        <w:pStyle w:val="ListParagraph"/>
        <w:numPr>
          <w:ilvl w:val="2"/>
          <w:numId w:val="25"/>
        </w:numPr>
        <w:rPr>
          <w:b/>
        </w:rPr>
      </w:pPr>
      <w:r w:rsidRPr="006B37DE">
        <w:rPr>
          <w:b/>
        </w:rPr>
        <w:t>When beta risk increases, investors will demand a higher return</w:t>
      </w:r>
    </w:p>
    <w:p w14:paraId="55F93567" w14:textId="77777777" w:rsidR="006B37DE" w:rsidRPr="006B37DE" w:rsidRDefault="006B37DE" w:rsidP="007C383F">
      <w:pPr>
        <w:pStyle w:val="ListParagraph"/>
        <w:numPr>
          <w:ilvl w:val="0"/>
          <w:numId w:val="25"/>
        </w:numPr>
        <w:rPr>
          <w:b/>
        </w:rPr>
      </w:pPr>
      <w:r>
        <w:t xml:space="preserve">2.  CAPM considers </w:t>
      </w:r>
      <w:r w:rsidRPr="00EA5560">
        <w:rPr>
          <w:u w:val="single"/>
        </w:rPr>
        <w:t>information asymmetry</w:t>
      </w:r>
      <w:r>
        <w:t xml:space="preserve"> only to a limited extent</w:t>
      </w:r>
    </w:p>
    <w:p w14:paraId="5482A6E1" w14:textId="77777777" w:rsidR="006B37DE" w:rsidRPr="006B37DE" w:rsidRDefault="006B37DE" w:rsidP="007C383F">
      <w:pPr>
        <w:pStyle w:val="ListParagraph"/>
        <w:numPr>
          <w:ilvl w:val="1"/>
          <w:numId w:val="25"/>
        </w:numPr>
        <w:rPr>
          <w:b/>
        </w:rPr>
      </w:pPr>
      <w:r>
        <w:t>With information risk, outsiders face risk that those with inside information will benefit at their expense</w:t>
      </w:r>
    </w:p>
    <w:p w14:paraId="3348E63F" w14:textId="77777777" w:rsidR="006B37DE" w:rsidRPr="006B37DE" w:rsidRDefault="006B37DE" w:rsidP="007C383F">
      <w:pPr>
        <w:pStyle w:val="ListParagraph"/>
        <w:numPr>
          <w:ilvl w:val="1"/>
          <w:numId w:val="25"/>
        </w:numPr>
        <w:rPr>
          <w:b/>
        </w:rPr>
      </w:pPr>
      <w:r>
        <w:t xml:space="preserve">This is another version of </w:t>
      </w:r>
      <w:r w:rsidRPr="00EA5560">
        <w:rPr>
          <w:b/>
        </w:rPr>
        <w:t>estimation risk</w:t>
      </w:r>
      <w:r>
        <w:t xml:space="preserve"> – investors may make a mistake in estimate when they are estimating management integrity  -- incorrect if management actually exploiting information </w:t>
      </w:r>
    </w:p>
    <w:p w14:paraId="0EB5D6EE" w14:textId="77777777" w:rsidR="00EA5560" w:rsidRPr="00EA5560" w:rsidRDefault="006B37DE" w:rsidP="007C383F">
      <w:pPr>
        <w:pStyle w:val="ListParagraph"/>
        <w:numPr>
          <w:ilvl w:val="1"/>
          <w:numId w:val="25"/>
        </w:numPr>
        <w:rPr>
          <w:b/>
        </w:rPr>
      </w:pPr>
      <w:r>
        <w:t>This increases beta, and so investors will demand a higher return</w:t>
      </w:r>
    </w:p>
    <w:p w14:paraId="71032C58" w14:textId="77777777" w:rsidR="006B37DE" w:rsidRPr="00BD318D" w:rsidRDefault="006B37DE" w:rsidP="007C383F">
      <w:pPr>
        <w:pStyle w:val="ListParagraph"/>
        <w:numPr>
          <w:ilvl w:val="0"/>
          <w:numId w:val="25"/>
        </w:numPr>
        <w:rPr>
          <w:b/>
        </w:rPr>
      </w:pPr>
      <w:r w:rsidRPr="00EA5560">
        <w:rPr>
          <w:b/>
        </w:rPr>
        <w:t>Conclusion</w:t>
      </w:r>
      <w:r>
        <w:t xml:space="preserve">: </w:t>
      </w:r>
      <w:r w:rsidR="00EA5560">
        <w:t>Given the above two points</w:t>
      </w:r>
      <w:r w:rsidR="00EA5560" w:rsidRPr="00811775">
        <w:t>, the CAPM m</w:t>
      </w:r>
      <w:r w:rsidR="00EA5560">
        <w:t>a</w:t>
      </w:r>
      <w:r w:rsidR="00EA5560" w:rsidRPr="00811775">
        <w:t>y understate expected returns of securities for many firms</w:t>
      </w:r>
      <w:r w:rsidR="00EA5560">
        <w:t xml:space="preserve"> </w:t>
      </w:r>
    </w:p>
    <w:p w14:paraId="21C91B8A" w14:textId="77777777" w:rsidR="00BD318D" w:rsidRPr="00EA5560" w:rsidRDefault="00BD318D" w:rsidP="007C383F">
      <w:pPr>
        <w:pStyle w:val="ListParagraph"/>
        <w:numPr>
          <w:ilvl w:val="1"/>
          <w:numId w:val="25"/>
        </w:numPr>
        <w:rPr>
          <w:b/>
        </w:rPr>
      </w:pPr>
      <w:proofErr w:type="gramStart"/>
      <w:r>
        <w:t>to</w:t>
      </w:r>
      <w:proofErr w:type="gramEnd"/>
      <w:r>
        <w:t xml:space="preserve"> control estimation risk, accountants should provide full disclosure and timely financial reporting</w:t>
      </w:r>
    </w:p>
    <w:p w14:paraId="3B324271" w14:textId="77777777" w:rsidR="00EA5560" w:rsidRDefault="00EA5560" w:rsidP="00EA5560">
      <w:pPr>
        <w:rPr>
          <w:b/>
        </w:rPr>
      </w:pPr>
      <w:r>
        <w:rPr>
          <w:b/>
        </w:rPr>
        <w:lastRenderedPageBreak/>
        <w:t>4.6 Information Asymmetry</w:t>
      </w:r>
    </w:p>
    <w:p w14:paraId="122BC391" w14:textId="77777777" w:rsidR="00EA5560" w:rsidRDefault="00BD318D" w:rsidP="007C383F">
      <w:pPr>
        <w:pStyle w:val="ListParagraph"/>
        <w:numPr>
          <w:ilvl w:val="0"/>
          <w:numId w:val="26"/>
        </w:numPr>
      </w:pPr>
      <w:proofErr w:type="gramStart"/>
      <w:r>
        <w:t>when</w:t>
      </w:r>
      <w:proofErr w:type="gramEnd"/>
      <w:r>
        <w:t xml:space="preserve"> one type of participant in the market knows more about the asset being traded than another market participant, when this happens the market is characterized by information asymmetry</w:t>
      </w:r>
    </w:p>
    <w:p w14:paraId="33FA5556" w14:textId="77777777" w:rsidR="00BD318D" w:rsidRDefault="00BD318D" w:rsidP="007C383F">
      <w:pPr>
        <w:pStyle w:val="ListParagraph"/>
        <w:numPr>
          <w:ilvl w:val="0"/>
          <w:numId w:val="26"/>
        </w:numPr>
      </w:pPr>
      <w:r>
        <w:t>2 major types of information asymmetry:</w:t>
      </w:r>
    </w:p>
    <w:p w14:paraId="25A89EE8" w14:textId="77777777" w:rsidR="00BD318D" w:rsidRDefault="00BD318D" w:rsidP="007C383F">
      <w:pPr>
        <w:pStyle w:val="ListParagraph"/>
        <w:numPr>
          <w:ilvl w:val="1"/>
          <w:numId w:val="26"/>
        </w:numPr>
      </w:pPr>
      <w:r>
        <w:t>1. Adverse selection</w:t>
      </w:r>
    </w:p>
    <w:p w14:paraId="50E4FBE1" w14:textId="77777777" w:rsidR="00BD318D" w:rsidRDefault="00BD318D" w:rsidP="007C383F">
      <w:pPr>
        <w:pStyle w:val="ListParagraph"/>
        <w:numPr>
          <w:ilvl w:val="1"/>
          <w:numId w:val="26"/>
        </w:numPr>
      </w:pPr>
      <w:r>
        <w:t>2. Moral hazard</w:t>
      </w:r>
    </w:p>
    <w:p w14:paraId="7B9FB928" w14:textId="77777777" w:rsidR="00BD318D" w:rsidRDefault="00BD318D" w:rsidP="007C383F">
      <w:pPr>
        <w:pStyle w:val="ListParagraph"/>
        <w:numPr>
          <w:ilvl w:val="0"/>
          <w:numId w:val="26"/>
        </w:numPr>
      </w:pPr>
      <w:r>
        <w:t>Information asymmetry is important to accounting theory because securities markets are subject to information asymmetry problems, such as insider information and insider trading</w:t>
      </w:r>
    </w:p>
    <w:p w14:paraId="398F2C3E" w14:textId="77777777" w:rsidR="00BD318D" w:rsidRDefault="00BD318D" w:rsidP="007C383F">
      <w:pPr>
        <w:pStyle w:val="ListParagraph"/>
        <w:numPr>
          <w:ilvl w:val="0"/>
          <w:numId w:val="26"/>
        </w:numPr>
      </w:pPr>
      <w:r>
        <w:t>Even if security market prices fully reflect all publically available information, it is still likely that insiders know more than outsiders about the true state of the firm</w:t>
      </w:r>
    </w:p>
    <w:p w14:paraId="44A111FA" w14:textId="77777777" w:rsidR="00BD318D" w:rsidRDefault="00BD318D" w:rsidP="007C383F">
      <w:pPr>
        <w:pStyle w:val="ListParagraph"/>
        <w:numPr>
          <w:ilvl w:val="1"/>
          <w:numId w:val="26"/>
        </w:numPr>
      </w:pPr>
      <w:r>
        <w:t>These insiders will then take advantage of the information they possess to earn excess profits by buying or selling shares on the basis of this information</w:t>
      </w:r>
    </w:p>
    <w:p w14:paraId="723B7A49" w14:textId="77777777" w:rsidR="00BD318D" w:rsidRDefault="00BD318D" w:rsidP="007C383F">
      <w:pPr>
        <w:pStyle w:val="ListParagraph"/>
        <w:numPr>
          <w:ilvl w:val="1"/>
          <w:numId w:val="26"/>
        </w:numPr>
      </w:pPr>
      <w:r>
        <w:t>This is an example of adverse selection because insiders are attracted to these opportunities, which are adverse to the interest of investors</w:t>
      </w:r>
    </w:p>
    <w:p w14:paraId="6ECF33E2" w14:textId="77777777" w:rsidR="00BD318D" w:rsidRDefault="00BD318D" w:rsidP="007C383F">
      <w:pPr>
        <w:pStyle w:val="ListParagraph"/>
        <w:numPr>
          <w:ilvl w:val="1"/>
          <w:numId w:val="26"/>
        </w:numPr>
      </w:pPr>
      <w:r>
        <w:t>Investors are aware of this risk and will lower the amounts they would otherwise invest to reflect their expected losses as a result of insider trading</w:t>
      </w:r>
    </w:p>
    <w:p w14:paraId="1E065E90" w14:textId="77777777" w:rsidR="00311439" w:rsidRDefault="00311439" w:rsidP="007C383F">
      <w:pPr>
        <w:pStyle w:val="ListParagraph"/>
        <w:numPr>
          <w:ilvl w:val="1"/>
          <w:numId w:val="26"/>
        </w:numPr>
      </w:pPr>
      <w:r>
        <w:t>This results in market incompleteness because investors cannot be sure of buying a security with the exact expected return and risk that they want – the market then does not work as well as it should</w:t>
      </w:r>
    </w:p>
    <w:p w14:paraId="75667EB8" w14:textId="5E501842" w:rsidR="00311439" w:rsidRDefault="00311439" w:rsidP="007C383F">
      <w:pPr>
        <w:pStyle w:val="ListParagraph"/>
        <w:numPr>
          <w:ilvl w:val="0"/>
          <w:numId w:val="26"/>
        </w:numPr>
      </w:pPr>
      <w:r>
        <w:t xml:space="preserve">The </w:t>
      </w:r>
      <w:r w:rsidRPr="00311439">
        <w:rPr>
          <w:b/>
        </w:rPr>
        <w:t>fundamental value</w:t>
      </w:r>
      <w:r>
        <w:t xml:space="preserve"> of a share is the val</w:t>
      </w:r>
      <w:r w:rsidR="00AB547C">
        <w:t>u</w:t>
      </w:r>
      <w:r>
        <w:t>e it would have in an efficient market if there is no inside information – all information about the share is publically available</w:t>
      </w:r>
    </w:p>
    <w:p w14:paraId="781852D3" w14:textId="77777777" w:rsidR="00311439" w:rsidRDefault="00311439" w:rsidP="007C383F">
      <w:pPr>
        <w:pStyle w:val="ListParagraph"/>
        <w:numPr>
          <w:ilvl w:val="1"/>
          <w:numId w:val="26"/>
        </w:numPr>
      </w:pPr>
      <w:r>
        <w:t>Fundamental value is a theoretical ideal – we cannot eliminate all inside information because it would be too costly</w:t>
      </w:r>
    </w:p>
    <w:p w14:paraId="582E5DC4" w14:textId="77777777" w:rsidR="00311439" w:rsidRDefault="00311439" w:rsidP="007C383F">
      <w:pPr>
        <w:pStyle w:val="ListParagraph"/>
        <w:numPr>
          <w:ilvl w:val="0"/>
          <w:numId w:val="26"/>
        </w:numPr>
      </w:pPr>
      <w:r>
        <w:t>Steps towards new regulatory standards (SOX) and improved disclosure help to expand the information about a firm that is publically available, thereby reducing biases resulting from incorrect or misleading information in the public domain</w:t>
      </w:r>
    </w:p>
    <w:p w14:paraId="05CFFE73" w14:textId="77777777" w:rsidR="00311439" w:rsidRDefault="00311439" w:rsidP="007C383F">
      <w:pPr>
        <w:pStyle w:val="ListParagraph"/>
        <w:numPr>
          <w:ilvl w:val="1"/>
          <w:numId w:val="26"/>
        </w:numPr>
      </w:pPr>
      <w:r>
        <w:t>Think of financial reporting as a device to control adverse selection problem and estimation risk, thereby improving the working of securities markets and reducing incompleteness</w:t>
      </w:r>
    </w:p>
    <w:p w14:paraId="176137E1" w14:textId="77777777" w:rsidR="00311439" w:rsidRPr="00EA5560" w:rsidRDefault="000679A8" w:rsidP="00311439">
      <w:r>
        <w:rPr>
          <w:rFonts w:eastAsiaTheme="minorEastAsia"/>
          <w:noProof/>
          <w:lang w:eastAsia="en-CA"/>
        </w:rPr>
        <w:pict w14:anchorId="6EF745FD">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65" type="#_x0000_t67" style="position:absolute;margin-left:118.5pt;margin-top:21.85pt;width:7.5pt;height:15.75pt;flip:y;z-index:251693056">
            <v:textbox style="layout-flow:vertical-ideographic"/>
          </v:shape>
        </w:pict>
      </w:r>
      <w:r>
        <w:rPr>
          <w:rFonts w:eastAsiaTheme="minorEastAsia"/>
          <w:noProof/>
          <w:lang w:eastAsia="en-CA"/>
        </w:rPr>
        <w:pict w14:anchorId="1F44FE7D">
          <v:oval id="_x0000_s1064" style="position:absolute;margin-left:49.5pt;margin-top:17.35pt;width:141pt;height:121.5pt;z-index:251692032" filled="f" strokecolor="red" strokeweight=".25pt">
            <v:stroke dashstyle="1 1"/>
          </v:oval>
        </w:pict>
      </w:r>
      <w:r>
        <w:rPr>
          <w:noProof/>
          <w:lang w:eastAsia="en-CA"/>
        </w:rPr>
        <w:pict w14:anchorId="34E3B363">
          <v:shape id="_x0000_s1059" type="#_x0000_t202" style="position:absolute;margin-left:217.5pt;margin-top:6.1pt;width:151.5pt;height:54pt;z-index:251684864" stroked="f">
            <v:textbox>
              <w:txbxContent>
                <w:p w14:paraId="03207C63" w14:textId="77777777" w:rsidR="005C38F6" w:rsidRDefault="005C38F6">
                  <w:r>
                    <w:t>This is the information that underlies the efficient market price of the share</w:t>
                  </w:r>
                </w:p>
              </w:txbxContent>
            </v:textbox>
          </v:shape>
        </w:pict>
      </w:r>
      <w:r>
        <w:rPr>
          <w:noProof/>
          <w:lang w:eastAsia="en-CA"/>
        </w:rPr>
        <w:pict w14:anchorId="1E65BCBA">
          <v:shape id="_x0000_s1058" type="#_x0000_t32" style="position:absolute;margin-left:129.75pt;margin-top:21.85pt;width:87.75pt;height:30pt;flip:y;z-index:251683840" o:connectortype="straight">
            <v:stroke endarrow="block"/>
          </v:shape>
        </w:pict>
      </w:r>
      <w:r>
        <w:rPr>
          <w:noProof/>
          <w:lang w:eastAsia="en-CA"/>
        </w:rPr>
        <w:pict w14:anchorId="4005E44B">
          <v:oval id="_x0000_s1056" style="position:absolute;margin-left:35.25pt;margin-top:6.1pt;width:168pt;height:147.75pt;z-index:251688960" filled="f"/>
        </w:pict>
      </w:r>
    </w:p>
    <w:p w14:paraId="07A96BC3" w14:textId="77777777" w:rsidR="00161A51" w:rsidRDefault="000679A8" w:rsidP="000E63C8">
      <w:pPr>
        <w:rPr>
          <w:rFonts w:eastAsiaTheme="minorEastAsia"/>
        </w:rPr>
      </w:pPr>
      <w:r>
        <w:rPr>
          <w:rFonts w:eastAsiaTheme="minorEastAsia"/>
          <w:noProof/>
          <w:lang w:eastAsia="en-CA"/>
        </w:rPr>
        <w:pict w14:anchorId="3D13D7FB">
          <v:shape id="_x0000_s1071" type="#_x0000_t202" style="position:absolute;margin-left:-42.75pt;margin-top:98.4pt;width:78pt;height:51.75pt;z-index:251698176" stroked="f">
            <v:textbox>
              <w:txbxContent>
                <w:p w14:paraId="7D768DC0" w14:textId="77777777" w:rsidR="005C38F6" w:rsidRDefault="005C38F6">
                  <w:r>
                    <w:t>Fundamental value of the firm</w:t>
                  </w:r>
                </w:p>
              </w:txbxContent>
            </v:textbox>
          </v:shape>
        </w:pict>
      </w:r>
      <w:r>
        <w:rPr>
          <w:rFonts w:eastAsiaTheme="minorEastAsia"/>
          <w:noProof/>
          <w:lang w:eastAsia="en-CA"/>
        </w:rPr>
        <w:pict w14:anchorId="3D517DA5">
          <v:shape id="_x0000_s1070" type="#_x0000_t32" style="position:absolute;margin-left:35.25pt;margin-top:109.65pt;width:27.75pt;height:0;flip:x;z-index:251697152" o:connectortype="straight">
            <v:stroke endarrow="block"/>
          </v:shape>
        </w:pict>
      </w:r>
      <w:r>
        <w:rPr>
          <w:rFonts w:eastAsiaTheme="minorEastAsia"/>
          <w:noProof/>
          <w:lang w:eastAsia="en-CA"/>
        </w:rPr>
        <w:pict w14:anchorId="7A4DE506">
          <v:shape id="_x0000_s1069" type="#_x0000_t202" style="position:absolute;margin-left:269.25pt;margin-top:30.15pt;width:201pt;height:55.5pt;z-index:251696128" stroked="f">
            <v:textbox>
              <w:txbxContent>
                <w:p w14:paraId="655CC452" w14:textId="77777777" w:rsidR="005C38F6" w:rsidRDefault="005C38F6">
                  <w:r>
                    <w:t>Role of financial reporting is to convert inside information into publically available information</w:t>
                  </w:r>
                </w:p>
              </w:txbxContent>
            </v:textbox>
          </v:shape>
        </w:pict>
      </w:r>
      <w:r>
        <w:rPr>
          <w:rFonts w:eastAsiaTheme="minorEastAsia"/>
          <w:noProof/>
          <w:lang w:eastAsia="en-CA"/>
        </w:rPr>
        <w:pict w14:anchorId="19581F54">
          <v:shape id="_x0000_s1068" type="#_x0000_t32" style="position:absolute;margin-left:183pt;margin-top:56.8pt;width:86.25pt;height:0;z-index:251695104" o:connectortype="straight">
            <v:stroke endarrow="block"/>
          </v:shape>
        </w:pict>
      </w:r>
      <w:r>
        <w:rPr>
          <w:rFonts w:eastAsiaTheme="minorEastAsia"/>
          <w:noProof/>
          <w:lang w:eastAsia="en-CA"/>
        </w:rPr>
        <w:pict w14:anchorId="64B68EA3">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66" type="#_x0000_t13" style="position:absolute;margin-left:172.5pt;margin-top:49.65pt;width:10.5pt;height:7.15pt;z-index:251694080"/>
        </w:pict>
      </w:r>
      <w:r>
        <w:rPr>
          <w:rFonts w:eastAsiaTheme="minorEastAsia"/>
          <w:noProof/>
          <w:lang w:eastAsia="en-CA"/>
        </w:rPr>
        <w:pict w14:anchorId="4A8AFB1A">
          <v:shape id="_x0000_s1063" type="#_x0000_t202" style="position:absolute;margin-left:245.25pt;margin-top:80.4pt;width:179.25pt;height:53.25pt;z-index:251691008" stroked="f">
            <v:textbox style="mso-next-textbox:#_x0000_s1063">
              <w:txbxContent>
                <w:p w14:paraId="7F279475" w14:textId="77777777" w:rsidR="005C38F6" w:rsidRDefault="005C38F6">
                  <w:r>
                    <w:t>Inside information is subject to adverse selection, creating estimation risk</w:t>
                  </w:r>
                </w:p>
              </w:txbxContent>
            </v:textbox>
          </v:shape>
        </w:pict>
      </w:r>
      <w:r>
        <w:rPr>
          <w:rFonts w:eastAsiaTheme="minorEastAsia"/>
          <w:noProof/>
          <w:lang w:eastAsia="en-CA"/>
        </w:rPr>
        <w:pict w14:anchorId="50CFDFE6">
          <v:shape id="_x0000_s1062" type="#_x0000_t32" style="position:absolute;margin-left:166.5pt;margin-top:109.65pt;width:78.75pt;height:0;z-index:251689984" o:connectortype="straight">
            <v:stroke endarrow="block"/>
          </v:shape>
        </w:pict>
      </w:r>
      <w:r>
        <w:rPr>
          <w:rFonts w:eastAsiaTheme="minorEastAsia"/>
          <w:noProof/>
          <w:lang w:eastAsia="en-CA"/>
        </w:rPr>
        <w:pict w14:anchorId="51CD5105">
          <v:shape id="_x0000_s1061" type="#_x0000_t202" style="position:absolute;margin-left:74.25pt;margin-top:98.4pt;width:98.25pt;height:35.25pt;z-index:251687936" stroked="f">
            <v:textbox style="mso-next-textbox:#_x0000_s1061">
              <w:txbxContent>
                <w:p w14:paraId="74BB9078" w14:textId="77777777" w:rsidR="005C38F6" w:rsidRDefault="005C38F6">
                  <w:r>
                    <w:t>Inside Information</w:t>
                  </w:r>
                </w:p>
              </w:txbxContent>
            </v:textbox>
          </v:shape>
        </w:pict>
      </w:r>
      <w:r>
        <w:rPr>
          <w:rFonts w:eastAsiaTheme="minorEastAsia"/>
          <w:noProof/>
          <w:lang w:eastAsia="en-CA"/>
        </w:rPr>
        <w:pict w14:anchorId="4CAA1E2F">
          <v:shape id="_x0000_s1060" type="#_x0000_t202" style="position:absolute;margin-left:79.5pt;margin-top:34.65pt;width:103.5pt;height:42.75pt;z-index:251685888" stroked="f">
            <v:textbox>
              <w:txbxContent>
                <w:p w14:paraId="1FD53C56" w14:textId="77777777" w:rsidR="005C38F6" w:rsidRPr="00FD2004" w:rsidRDefault="005C38F6">
                  <w:pPr>
                    <w:rPr>
                      <w:sz w:val="20"/>
                      <w:szCs w:val="20"/>
                    </w:rPr>
                  </w:pPr>
                  <w:r w:rsidRPr="00FD2004">
                    <w:rPr>
                      <w:sz w:val="20"/>
                      <w:szCs w:val="20"/>
                    </w:rPr>
                    <w:t>Publically Available Information</w:t>
                  </w:r>
                </w:p>
              </w:txbxContent>
            </v:textbox>
          </v:shape>
        </w:pict>
      </w:r>
      <w:r>
        <w:rPr>
          <w:rFonts w:eastAsiaTheme="minorEastAsia"/>
          <w:noProof/>
          <w:lang w:eastAsia="en-CA"/>
        </w:rPr>
        <w:pict w14:anchorId="3554C419">
          <v:oval id="_x0000_s1057" style="position:absolute;margin-left:74.25pt;margin-top:14.4pt;width:92.25pt;height:79.5pt;z-index:251686912" filled="f"/>
        </w:pict>
      </w:r>
    </w:p>
    <w:p w14:paraId="0997D416" w14:textId="77777777" w:rsidR="00161A51" w:rsidRPr="00161A51" w:rsidRDefault="00161A51" w:rsidP="00161A51">
      <w:pPr>
        <w:rPr>
          <w:rFonts w:eastAsiaTheme="minorEastAsia"/>
        </w:rPr>
      </w:pPr>
    </w:p>
    <w:p w14:paraId="20B004F8" w14:textId="77777777" w:rsidR="00161A51" w:rsidRPr="00161A51" w:rsidRDefault="00161A51" w:rsidP="00161A51">
      <w:pPr>
        <w:rPr>
          <w:rFonts w:eastAsiaTheme="minorEastAsia"/>
        </w:rPr>
      </w:pPr>
    </w:p>
    <w:p w14:paraId="1BBB61AE" w14:textId="77777777" w:rsidR="00161A51" w:rsidRPr="00161A51" w:rsidRDefault="00161A51" w:rsidP="00161A51">
      <w:pPr>
        <w:rPr>
          <w:rFonts w:eastAsiaTheme="minorEastAsia"/>
        </w:rPr>
      </w:pPr>
    </w:p>
    <w:p w14:paraId="7E9F23E7" w14:textId="77777777" w:rsidR="00161A51" w:rsidRDefault="00161A51" w:rsidP="00161A51">
      <w:pPr>
        <w:rPr>
          <w:rFonts w:eastAsiaTheme="minorEastAsia"/>
        </w:rPr>
      </w:pPr>
    </w:p>
    <w:p w14:paraId="3A315100" w14:textId="77777777" w:rsidR="000E63C8" w:rsidRDefault="00161A51" w:rsidP="00161A51">
      <w:pPr>
        <w:tabs>
          <w:tab w:val="left" w:pos="6765"/>
        </w:tabs>
        <w:rPr>
          <w:rFonts w:eastAsiaTheme="minorEastAsia"/>
        </w:rPr>
      </w:pPr>
      <w:r>
        <w:rPr>
          <w:rFonts w:eastAsiaTheme="minorEastAsia"/>
        </w:rPr>
        <w:tab/>
      </w:r>
    </w:p>
    <w:p w14:paraId="10FD3F0D" w14:textId="77777777" w:rsidR="00161A51" w:rsidRDefault="00161A51" w:rsidP="007C383F">
      <w:pPr>
        <w:pStyle w:val="ListParagraph"/>
        <w:numPr>
          <w:ilvl w:val="0"/>
          <w:numId w:val="27"/>
        </w:numPr>
        <w:tabs>
          <w:tab w:val="left" w:pos="6765"/>
        </w:tabs>
        <w:rPr>
          <w:rFonts w:eastAsiaTheme="minorEastAsia"/>
        </w:rPr>
      </w:pPr>
      <w:r>
        <w:rPr>
          <w:rFonts w:eastAsiaTheme="minorEastAsia"/>
        </w:rPr>
        <w:lastRenderedPageBreak/>
        <w:t>The more you replace inside information with publically available information, the more closely related the efficient market price will be to the fundamental value of the firm</w:t>
      </w:r>
    </w:p>
    <w:p w14:paraId="5E68853A" w14:textId="77777777" w:rsidR="00161A51" w:rsidRDefault="00161A51" w:rsidP="007C383F">
      <w:pPr>
        <w:pStyle w:val="ListParagraph"/>
        <w:numPr>
          <w:ilvl w:val="0"/>
          <w:numId w:val="27"/>
        </w:numPr>
        <w:tabs>
          <w:tab w:val="left" w:pos="6765"/>
        </w:tabs>
        <w:rPr>
          <w:rFonts w:eastAsiaTheme="minorEastAsia"/>
        </w:rPr>
      </w:pPr>
      <w:r>
        <w:rPr>
          <w:rFonts w:eastAsiaTheme="minorEastAsia"/>
        </w:rPr>
        <w:t>Markets where the inner circle is large relative to the outside circle is a market that works well</w:t>
      </w:r>
    </w:p>
    <w:p w14:paraId="6ACBE20D" w14:textId="77777777" w:rsidR="006E639D" w:rsidRDefault="006E639D" w:rsidP="007C383F">
      <w:pPr>
        <w:pStyle w:val="ListParagraph"/>
        <w:numPr>
          <w:ilvl w:val="0"/>
          <w:numId w:val="27"/>
        </w:numPr>
        <w:tabs>
          <w:tab w:val="left" w:pos="6765"/>
        </w:tabs>
        <w:rPr>
          <w:rFonts w:eastAsiaTheme="minorEastAsia"/>
        </w:rPr>
      </w:pPr>
      <w:r>
        <w:rPr>
          <w:rFonts w:eastAsiaTheme="minorEastAsia"/>
        </w:rPr>
        <w:t xml:space="preserve">How do we make the inner circle larger? – </w:t>
      </w:r>
      <w:proofErr w:type="gramStart"/>
      <w:r>
        <w:rPr>
          <w:rFonts w:eastAsiaTheme="minorEastAsia"/>
        </w:rPr>
        <w:t>full</w:t>
      </w:r>
      <w:proofErr w:type="gramEnd"/>
      <w:r>
        <w:rPr>
          <w:rFonts w:eastAsiaTheme="minorEastAsia"/>
        </w:rPr>
        <w:t xml:space="preserve"> and timely disclosure! – </w:t>
      </w:r>
      <w:proofErr w:type="gramStart"/>
      <w:r>
        <w:rPr>
          <w:rFonts w:eastAsiaTheme="minorEastAsia"/>
        </w:rPr>
        <w:t>but</w:t>
      </w:r>
      <w:proofErr w:type="gramEnd"/>
      <w:r>
        <w:rPr>
          <w:rFonts w:eastAsiaTheme="minorEastAsia"/>
        </w:rPr>
        <w:t xml:space="preserve"> since reporting all inside information is too costly, the adverse selection problem will still be present</w:t>
      </w:r>
    </w:p>
    <w:p w14:paraId="2AAC00B7" w14:textId="77777777" w:rsidR="006E639D" w:rsidRDefault="006E639D" w:rsidP="007C383F">
      <w:pPr>
        <w:pStyle w:val="ListParagraph"/>
        <w:numPr>
          <w:ilvl w:val="0"/>
          <w:numId w:val="27"/>
        </w:numPr>
        <w:tabs>
          <w:tab w:val="left" w:pos="6765"/>
        </w:tabs>
        <w:rPr>
          <w:rFonts w:eastAsiaTheme="minorEastAsia"/>
        </w:rPr>
      </w:pPr>
      <w:r>
        <w:rPr>
          <w:rFonts w:eastAsiaTheme="minorEastAsia"/>
        </w:rPr>
        <w:t>1. Under ideal conditions, the firm’s market value fully reflects all information</w:t>
      </w:r>
    </w:p>
    <w:p w14:paraId="23A426DA" w14:textId="77777777" w:rsidR="006E639D" w:rsidRDefault="006E639D" w:rsidP="007C383F">
      <w:pPr>
        <w:pStyle w:val="ListParagraph"/>
        <w:numPr>
          <w:ilvl w:val="1"/>
          <w:numId w:val="27"/>
        </w:numPr>
        <w:tabs>
          <w:tab w:val="left" w:pos="6765"/>
        </w:tabs>
        <w:rPr>
          <w:rFonts w:eastAsiaTheme="minorEastAsia"/>
        </w:rPr>
      </w:pPr>
      <w:r>
        <w:rPr>
          <w:rFonts w:eastAsiaTheme="minorEastAsia"/>
        </w:rPr>
        <w:t>Price = fundamental value</w:t>
      </w:r>
    </w:p>
    <w:p w14:paraId="6B733FC7" w14:textId="77777777" w:rsidR="006E639D" w:rsidRDefault="006E639D" w:rsidP="007C383F">
      <w:pPr>
        <w:pStyle w:val="ListParagraph"/>
        <w:numPr>
          <w:ilvl w:val="0"/>
          <w:numId w:val="27"/>
        </w:numPr>
        <w:tabs>
          <w:tab w:val="left" w:pos="6765"/>
        </w:tabs>
        <w:rPr>
          <w:rFonts w:eastAsiaTheme="minorEastAsia"/>
        </w:rPr>
      </w:pPr>
      <w:r>
        <w:rPr>
          <w:rFonts w:eastAsiaTheme="minorEastAsia"/>
        </w:rPr>
        <w:t>2. When conditions are not ideal, market value fully reflects all publically available information, if securities are (semi-strong) efficient</w:t>
      </w:r>
    </w:p>
    <w:p w14:paraId="3F62932E" w14:textId="77777777" w:rsidR="006E639D" w:rsidRDefault="006E639D" w:rsidP="007C383F">
      <w:pPr>
        <w:pStyle w:val="ListParagraph"/>
        <w:numPr>
          <w:ilvl w:val="0"/>
          <w:numId w:val="27"/>
        </w:numPr>
        <w:tabs>
          <w:tab w:val="left" w:pos="6765"/>
        </w:tabs>
        <w:rPr>
          <w:rFonts w:eastAsiaTheme="minorEastAsia"/>
        </w:rPr>
      </w:pPr>
      <w:r>
        <w:rPr>
          <w:rFonts w:eastAsiaTheme="minorEastAsia"/>
        </w:rPr>
        <w:t xml:space="preserve">The difference between these two information sets includes inside information </w:t>
      </w:r>
    </w:p>
    <w:p w14:paraId="43B5161D" w14:textId="77777777" w:rsidR="006E639D" w:rsidRDefault="006E639D" w:rsidP="007C383F">
      <w:pPr>
        <w:pStyle w:val="ListParagraph"/>
        <w:numPr>
          <w:ilvl w:val="1"/>
          <w:numId w:val="27"/>
        </w:numPr>
        <w:tabs>
          <w:tab w:val="left" w:pos="6765"/>
        </w:tabs>
        <w:rPr>
          <w:rFonts w:eastAsiaTheme="minorEastAsia"/>
        </w:rPr>
      </w:pPr>
      <w:r>
        <w:rPr>
          <w:rFonts w:eastAsiaTheme="minorEastAsia"/>
        </w:rPr>
        <w:t>The possibility for adverse selection creates estimation risk for investors</w:t>
      </w:r>
    </w:p>
    <w:p w14:paraId="151E3E8A" w14:textId="77777777" w:rsidR="006E639D" w:rsidRDefault="006E639D" w:rsidP="007C383F">
      <w:pPr>
        <w:pStyle w:val="ListParagraph"/>
        <w:numPr>
          <w:ilvl w:val="1"/>
          <w:numId w:val="27"/>
        </w:numPr>
        <w:tabs>
          <w:tab w:val="left" w:pos="6765"/>
        </w:tabs>
        <w:rPr>
          <w:rFonts w:eastAsiaTheme="minorEastAsia"/>
        </w:rPr>
      </w:pPr>
      <w:r>
        <w:rPr>
          <w:rFonts w:eastAsiaTheme="minorEastAsia"/>
        </w:rPr>
        <w:t>If this risk is not fully diversifiable, it increases firms’ cost of capital above their CAPM values</w:t>
      </w:r>
    </w:p>
    <w:p w14:paraId="4451EC1B" w14:textId="27ECC904" w:rsidR="006E639D" w:rsidRPr="00674937" w:rsidRDefault="00E00B9B" w:rsidP="006E639D">
      <w:pPr>
        <w:tabs>
          <w:tab w:val="left" w:pos="6765"/>
        </w:tabs>
        <w:rPr>
          <w:rFonts w:eastAsiaTheme="minorEastAsia"/>
          <w:b/>
        </w:rPr>
      </w:pPr>
      <w:r>
        <w:rPr>
          <w:rFonts w:eastAsiaTheme="minorEastAsia"/>
          <w:b/>
        </w:rPr>
        <w:t>4.7 The Social Significance</w:t>
      </w:r>
      <w:r w:rsidR="006E639D" w:rsidRPr="00674937">
        <w:rPr>
          <w:rFonts w:eastAsiaTheme="minorEastAsia"/>
          <w:b/>
        </w:rPr>
        <w:t xml:space="preserve"> of Securities Markets that Work Well</w:t>
      </w:r>
    </w:p>
    <w:p w14:paraId="15DB9596" w14:textId="77777777" w:rsidR="00674937" w:rsidRDefault="00674937" w:rsidP="007C383F">
      <w:pPr>
        <w:numPr>
          <w:ilvl w:val="0"/>
          <w:numId w:val="28"/>
        </w:numPr>
        <w:spacing w:after="0"/>
        <w:jc w:val="both"/>
      </w:pPr>
      <w:r>
        <w:t>Since security prices do not fully reflect the fundamental value in the presence of inside information, investors will be aware of the estimation risk resulting from adverse selection and insider trading</w:t>
      </w:r>
    </w:p>
    <w:p w14:paraId="240663CD" w14:textId="77777777" w:rsidR="00674937" w:rsidRDefault="00674937" w:rsidP="007C383F">
      <w:pPr>
        <w:numPr>
          <w:ilvl w:val="1"/>
          <w:numId w:val="28"/>
        </w:numPr>
        <w:spacing w:after="0"/>
        <w:jc w:val="both"/>
      </w:pPr>
      <w:r>
        <w:t xml:space="preserve">They either withdraw from the market or lower the amount they are willing to pay for any security. </w:t>
      </w:r>
    </w:p>
    <w:p w14:paraId="242F6DD1" w14:textId="77777777" w:rsidR="00674937" w:rsidRDefault="00674937" w:rsidP="007C383F">
      <w:pPr>
        <w:numPr>
          <w:ilvl w:val="0"/>
          <w:numId w:val="28"/>
        </w:numPr>
        <w:spacing w:after="0"/>
        <w:jc w:val="both"/>
      </w:pPr>
      <w:r>
        <w:t>These may lead to the following problems:</w:t>
      </w:r>
    </w:p>
    <w:p w14:paraId="4A94A332" w14:textId="77777777" w:rsidR="00674937" w:rsidRDefault="00674937" w:rsidP="007C383F">
      <w:pPr>
        <w:numPr>
          <w:ilvl w:val="1"/>
          <w:numId w:val="28"/>
        </w:numPr>
        <w:spacing w:after="0"/>
        <w:jc w:val="both"/>
      </w:pPr>
      <w:r>
        <w:t xml:space="preserve">Firms with high-quality investment projects will not receive a high price for their securities and the market is not working as well as it should. </w:t>
      </w:r>
    </w:p>
    <w:p w14:paraId="43459ED0" w14:textId="77777777" w:rsidR="00674937" w:rsidRPr="00674937" w:rsidRDefault="00674937" w:rsidP="007C383F">
      <w:pPr>
        <w:numPr>
          <w:ilvl w:val="1"/>
          <w:numId w:val="28"/>
        </w:numPr>
        <w:spacing w:after="0"/>
        <w:jc w:val="both"/>
      </w:pPr>
      <w:r>
        <w:t xml:space="preserve">If too many investors withdraw, the markets become thin or, equivalently, it loses depth, where depth is the number of shares that investors can buy or sell without affecting the market price. When depth is low, potential investors may not be able to buy or sell all they want of a security at the market price, which further hampers investment. </w:t>
      </w:r>
    </w:p>
    <w:p w14:paraId="60EA6FBF" w14:textId="77777777" w:rsidR="006E639D" w:rsidRDefault="0037725C" w:rsidP="007C383F">
      <w:pPr>
        <w:pStyle w:val="ListParagraph"/>
        <w:numPr>
          <w:ilvl w:val="0"/>
          <w:numId w:val="28"/>
        </w:numPr>
        <w:tabs>
          <w:tab w:val="left" w:pos="6765"/>
        </w:tabs>
        <w:rPr>
          <w:rFonts w:eastAsiaTheme="minorEastAsia"/>
        </w:rPr>
      </w:pPr>
      <w:r>
        <w:rPr>
          <w:rFonts w:eastAsiaTheme="minorEastAsia"/>
        </w:rPr>
        <w:t xml:space="preserve">High quality reporting is important </w:t>
      </w:r>
      <w:r w:rsidR="00674937">
        <w:rPr>
          <w:rFonts w:eastAsiaTheme="minorEastAsia"/>
        </w:rPr>
        <w:t>for firm’s who desire efficient capital allocation</w:t>
      </w:r>
    </w:p>
    <w:p w14:paraId="1CCDD897" w14:textId="77777777" w:rsidR="00674937" w:rsidRDefault="00674937" w:rsidP="007C383F">
      <w:pPr>
        <w:pStyle w:val="ListParagraph"/>
        <w:numPr>
          <w:ilvl w:val="0"/>
          <w:numId w:val="28"/>
        </w:numPr>
        <w:tabs>
          <w:tab w:val="left" w:pos="6765"/>
        </w:tabs>
        <w:rPr>
          <w:rFonts w:eastAsiaTheme="minorEastAsia"/>
        </w:rPr>
      </w:pPr>
      <w:r>
        <w:rPr>
          <w:rFonts w:eastAsiaTheme="minorEastAsia"/>
        </w:rPr>
        <w:t>The social benefits of securities markets that work reasonably well will be attained if the following 2 conditions are met:</w:t>
      </w:r>
    </w:p>
    <w:p w14:paraId="1FFAE968" w14:textId="77777777" w:rsidR="00674937" w:rsidRDefault="00674937" w:rsidP="007C383F">
      <w:pPr>
        <w:pStyle w:val="ListParagraph"/>
        <w:numPr>
          <w:ilvl w:val="1"/>
          <w:numId w:val="28"/>
        </w:numPr>
        <w:tabs>
          <w:tab w:val="left" w:pos="6765"/>
        </w:tabs>
        <w:rPr>
          <w:rFonts w:eastAsiaTheme="minorEastAsia"/>
        </w:rPr>
      </w:pPr>
      <w:r>
        <w:rPr>
          <w:rFonts w:eastAsiaTheme="minorEastAsia"/>
        </w:rPr>
        <w:t>1. All useful information is publically available, up to the maximum point where benefits outweigh costs of full disclosure</w:t>
      </w:r>
    </w:p>
    <w:p w14:paraId="77D8F85F" w14:textId="77777777" w:rsidR="00674937" w:rsidRDefault="00674937" w:rsidP="007C383F">
      <w:pPr>
        <w:pStyle w:val="ListParagraph"/>
        <w:numPr>
          <w:ilvl w:val="1"/>
          <w:numId w:val="28"/>
        </w:numPr>
        <w:tabs>
          <w:tab w:val="left" w:pos="6765"/>
        </w:tabs>
        <w:rPr>
          <w:rFonts w:eastAsiaTheme="minorEastAsia"/>
        </w:rPr>
      </w:pPr>
      <w:r>
        <w:rPr>
          <w:rFonts w:eastAsiaTheme="minorEastAsia"/>
        </w:rPr>
        <w:t>2. Securities market prices are efficient relative to publically available information</w:t>
      </w:r>
    </w:p>
    <w:p w14:paraId="59BD3A30" w14:textId="77777777" w:rsidR="00674937" w:rsidRPr="00E8571B" w:rsidRDefault="00674937" w:rsidP="00674937">
      <w:pPr>
        <w:jc w:val="both"/>
        <w:rPr>
          <w:b/>
        </w:rPr>
      </w:pPr>
      <w:r>
        <w:rPr>
          <w:b/>
        </w:rPr>
        <w:t>4.8.2 Management Discussion and Analysis (MD&amp;A)</w:t>
      </w:r>
    </w:p>
    <w:p w14:paraId="4B6E3002" w14:textId="77777777" w:rsidR="00674937" w:rsidRPr="009F5BFB" w:rsidRDefault="00674937" w:rsidP="007C383F">
      <w:pPr>
        <w:numPr>
          <w:ilvl w:val="0"/>
          <w:numId w:val="29"/>
        </w:numPr>
        <w:tabs>
          <w:tab w:val="clear" w:pos="720"/>
          <w:tab w:val="num" w:pos="360"/>
        </w:tabs>
        <w:spacing w:after="0"/>
        <w:ind w:left="360"/>
        <w:jc w:val="both"/>
        <w:rPr>
          <w:caps/>
        </w:rPr>
      </w:pPr>
      <w:r>
        <w:t>MD&amp;A is a standard that requires firms to provide a narrative explanation of company performance, financial condition, and future prospects. The intent is to assist investors to interpret the firm’s financial statements. This standard also provides an important illustration of how the amount of useful information in the public domain can be increased.</w:t>
      </w:r>
    </w:p>
    <w:p w14:paraId="5D349E22" w14:textId="77777777" w:rsidR="00674937" w:rsidRDefault="00674937" w:rsidP="007C383F">
      <w:pPr>
        <w:numPr>
          <w:ilvl w:val="0"/>
          <w:numId w:val="29"/>
        </w:numPr>
        <w:tabs>
          <w:tab w:val="clear" w:pos="720"/>
          <w:tab w:val="num" w:pos="360"/>
        </w:tabs>
        <w:spacing w:after="0"/>
        <w:ind w:left="360"/>
        <w:jc w:val="both"/>
        <w:rPr>
          <w:caps/>
        </w:rPr>
      </w:pPr>
      <w:r>
        <w:t xml:space="preserve">While all public companies have to provide MD&amp;A, there is some latitude in the extent to which they meet the letter of its disclosure requirements. </w:t>
      </w:r>
    </w:p>
    <w:p w14:paraId="46A35D49" w14:textId="77777777" w:rsidR="00674937" w:rsidRPr="005E6FBE" w:rsidRDefault="00674937" w:rsidP="007C383F">
      <w:pPr>
        <w:numPr>
          <w:ilvl w:val="0"/>
          <w:numId w:val="29"/>
        </w:numPr>
        <w:tabs>
          <w:tab w:val="clear" w:pos="720"/>
          <w:tab w:val="num" w:pos="360"/>
        </w:tabs>
        <w:spacing w:after="0"/>
        <w:ind w:left="360"/>
        <w:jc w:val="both"/>
        <w:rPr>
          <w:caps/>
        </w:rPr>
      </w:pPr>
      <w:r>
        <w:rPr>
          <w:caps/>
        </w:rPr>
        <w:t>objectives</w:t>
      </w:r>
      <w:r>
        <w:t>:</w:t>
      </w:r>
    </w:p>
    <w:p w14:paraId="043E98AF" w14:textId="77777777" w:rsidR="00674937" w:rsidRDefault="00674937" w:rsidP="007C383F">
      <w:pPr>
        <w:numPr>
          <w:ilvl w:val="1"/>
          <w:numId w:val="29"/>
        </w:numPr>
        <w:tabs>
          <w:tab w:val="clear" w:pos="1440"/>
          <w:tab w:val="num" w:pos="1080"/>
        </w:tabs>
        <w:spacing w:after="0"/>
        <w:ind w:left="1080"/>
        <w:jc w:val="both"/>
      </w:pPr>
      <w:r>
        <w:t>To help current and prospective investors understand the financial statements.</w:t>
      </w:r>
    </w:p>
    <w:p w14:paraId="707418E9" w14:textId="77777777" w:rsidR="00674937" w:rsidRPr="005E6FBE" w:rsidRDefault="00674937" w:rsidP="007C383F">
      <w:pPr>
        <w:numPr>
          <w:ilvl w:val="1"/>
          <w:numId w:val="29"/>
        </w:numPr>
        <w:tabs>
          <w:tab w:val="clear" w:pos="1440"/>
          <w:tab w:val="num" w:pos="1080"/>
        </w:tabs>
        <w:spacing w:after="0"/>
        <w:ind w:left="1080"/>
        <w:jc w:val="both"/>
        <w:rPr>
          <w:caps/>
        </w:rPr>
      </w:pPr>
      <w:r>
        <w:lastRenderedPageBreak/>
        <w:t>To discuss information not fully reflected in the financial statements.</w:t>
      </w:r>
    </w:p>
    <w:p w14:paraId="30EC8A59" w14:textId="77777777" w:rsidR="00674937" w:rsidRPr="005E6FBE" w:rsidRDefault="00674937" w:rsidP="007C383F">
      <w:pPr>
        <w:numPr>
          <w:ilvl w:val="1"/>
          <w:numId w:val="29"/>
        </w:numPr>
        <w:tabs>
          <w:tab w:val="clear" w:pos="1440"/>
          <w:tab w:val="num" w:pos="1080"/>
        </w:tabs>
        <w:spacing w:after="0"/>
        <w:ind w:left="1080"/>
        <w:jc w:val="both"/>
        <w:rPr>
          <w:caps/>
        </w:rPr>
      </w:pPr>
      <w:r>
        <w:t>To discuss imperative trends and risks.</w:t>
      </w:r>
    </w:p>
    <w:p w14:paraId="7D843ACA" w14:textId="77777777" w:rsidR="00674937" w:rsidRPr="005E6FBE" w:rsidRDefault="00674937" w:rsidP="007C383F">
      <w:pPr>
        <w:numPr>
          <w:ilvl w:val="1"/>
          <w:numId w:val="29"/>
        </w:numPr>
        <w:tabs>
          <w:tab w:val="clear" w:pos="1440"/>
          <w:tab w:val="num" w:pos="1080"/>
        </w:tabs>
        <w:spacing w:after="0"/>
        <w:ind w:left="1080"/>
        <w:jc w:val="both"/>
        <w:rPr>
          <w:caps/>
        </w:rPr>
      </w:pPr>
      <w:r>
        <w:t>To provide info about the quality and potential variability of earnings, and cash flow, and to help investors determine if past performance is indicative of future performance.</w:t>
      </w:r>
    </w:p>
    <w:p w14:paraId="54D05C01" w14:textId="77777777" w:rsidR="00674937" w:rsidRDefault="00674937" w:rsidP="007C383F">
      <w:pPr>
        <w:numPr>
          <w:ilvl w:val="0"/>
          <w:numId w:val="30"/>
        </w:numPr>
        <w:spacing w:after="0"/>
        <w:ind w:left="360"/>
        <w:jc w:val="both"/>
      </w:pPr>
      <w:r>
        <w:t>Given some specific disclosure requirements (see page 120), several aspects of MD&amp;A are as follows:</w:t>
      </w:r>
    </w:p>
    <w:p w14:paraId="58667FAF" w14:textId="77777777" w:rsidR="00674937" w:rsidRPr="00CE6481" w:rsidRDefault="00674937" w:rsidP="007C383F">
      <w:pPr>
        <w:numPr>
          <w:ilvl w:val="1"/>
          <w:numId w:val="29"/>
        </w:numPr>
        <w:tabs>
          <w:tab w:val="clear" w:pos="1440"/>
          <w:tab w:val="num" w:pos="1080"/>
        </w:tabs>
        <w:spacing w:after="0"/>
        <w:ind w:left="1080"/>
        <w:jc w:val="both"/>
        <w:rPr>
          <w:caps/>
        </w:rPr>
      </w:pPr>
      <w:r>
        <w:t>The MD&amp;A standard has a clear forward-looking orientation.</w:t>
      </w:r>
    </w:p>
    <w:p w14:paraId="6F3D36EF" w14:textId="77777777" w:rsidR="00674937" w:rsidRPr="00CE6481" w:rsidRDefault="00674937" w:rsidP="007C383F">
      <w:pPr>
        <w:numPr>
          <w:ilvl w:val="1"/>
          <w:numId w:val="29"/>
        </w:numPr>
        <w:tabs>
          <w:tab w:val="clear" w:pos="1440"/>
          <w:tab w:val="num" w:pos="1080"/>
        </w:tabs>
        <w:spacing w:after="0"/>
        <w:ind w:left="1080"/>
        <w:jc w:val="both"/>
        <w:rPr>
          <w:caps/>
        </w:rPr>
      </w:pPr>
      <w:r>
        <w:t xml:space="preserve">The concept of an information system is implicit in MD&amp;A standard. </w:t>
      </w:r>
    </w:p>
    <w:p w14:paraId="1A717147" w14:textId="77777777" w:rsidR="00674937" w:rsidRPr="000A06EB" w:rsidRDefault="00674937" w:rsidP="007C383F">
      <w:pPr>
        <w:numPr>
          <w:ilvl w:val="1"/>
          <w:numId w:val="29"/>
        </w:numPr>
        <w:tabs>
          <w:tab w:val="clear" w:pos="1440"/>
          <w:tab w:val="num" w:pos="1080"/>
        </w:tabs>
        <w:spacing w:after="0"/>
        <w:ind w:left="1080"/>
        <w:jc w:val="both"/>
        <w:rPr>
          <w:caps/>
        </w:rPr>
      </w:pPr>
      <w:r>
        <w:t xml:space="preserve">Consistent with its future orientation, the standard tilts towards relevance in the relevance/reliability </w:t>
      </w:r>
      <w:proofErr w:type="spellStart"/>
      <w:r>
        <w:t>tradeoff</w:t>
      </w:r>
      <w:proofErr w:type="spellEnd"/>
      <w:r>
        <w:t xml:space="preserve">. That is, there is less need to wait until objective evidence is available than in the financial statements. However, MD&amp;A does not completely ignore relevance and reliability considerations. For example, </w:t>
      </w:r>
      <w:proofErr w:type="gramStart"/>
      <w:r>
        <w:t>the firm’s MD&amp;A must be approved by its board of directors</w:t>
      </w:r>
      <w:proofErr w:type="gramEnd"/>
      <w:r>
        <w:t xml:space="preserve">. Also, the firm is required to discuss any needed changes to forward-looking information provided in previous MD&amp;A that is now known to be in error as a result of further developments. </w:t>
      </w:r>
    </w:p>
    <w:p w14:paraId="0D136D6A" w14:textId="77777777" w:rsidR="00674937" w:rsidRPr="000A06EB" w:rsidRDefault="00674937" w:rsidP="007C383F">
      <w:pPr>
        <w:numPr>
          <w:ilvl w:val="1"/>
          <w:numId w:val="29"/>
        </w:numPr>
        <w:spacing w:after="0"/>
        <w:jc w:val="both"/>
        <w:rPr>
          <w:caps/>
        </w:rPr>
      </w:pPr>
      <w:r>
        <w:t xml:space="preserve">The MD&amp;A standard seems reasonably consistent with the theories of rational investor decision-making and market efficiency. </w:t>
      </w:r>
    </w:p>
    <w:p w14:paraId="3D592CF6" w14:textId="77777777" w:rsidR="00895622" w:rsidRDefault="00895622">
      <w:pPr>
        <w:rPr>
          <w:rFonts w:eastAsiaTheme="minorEastAsia"/>
        </w:rPr>
      </w:pPr>
      <w:r>
        <w:rPr>
          <w:rFonts w:eastAsiaTheme="minorEastAsia"/>
        </w:rPr>
        <w:br w:type="page"/>
      </w:r>
    </w:p>
    <w:p w14:paraId="211EAEB6" w14:textId="77777777" w:rsidR="00674937" w:rsidRPr="00381AA7" w:rsidRDefault="00381AA7" w:rsidP="00674937">
      <w:pPr>
        <w:tabs>
          <w:tab w:val="left" w:pos="6765"/>
        </w:tabs>
        <w:rPr>
          <w:rFonts w:eastAsiaTheme="minorEastAsia"/>
          <w:b/>
          <w:sz w:val="28"/>
          <w:szCs w:val="28"/>
        </w:rPr>
      </w:pPr>
      <w:r w:rsidRPr="00381AA7">
        <w:rPr>
          <w:rFonts w:eastAsiaTheme="minorEastAsia"/>
          <w:b/>
          <w:sz w:val="28"/>
          <w:szCs w:val="28"/>
        </w:rPr>
        <w:lastRenderedPageBreak/>
        <w:t>Chapter 5: The Information Approach to Decision Usefulness</w:t>
      </w:r>
    </w:p>
    <w:p w14:paraId="312151B0" w14:textId="77777777" w:rsidR="00381AA7" w:rsidRDefault="00381AA7" w:rsidP="007C383F">
      <w:pPr>
        <w:pStyle w:val="ListParagraph"/>
        <w:numPr>
          <w:ilvl w:val="0"/>
          <w:numId w:val="31"/>
        </w:numPr>
        <w:tabs>
          <w:tab w:val="left" w:pos="6765"/>
        </w:tabs>
        <w:rPr>
          <w:rFonts w:eastAsiaTheme="minorEastAsia"/>
        </w:rPr>
      </w:pPr>
      <w:r>
        <w:rPr>
          <w:rFonts w:eastAsiaTheme="minorEastAsia"/>
        </w:rPr>
        <w:t>The degree of usefulness for investors can be measured by the extent of volume or price change following release of the information</w:t>
      </w:r>
    </w:p>
    <w:p w14:paraId="6647910C" w14:textId="77777777" w:rsidR="00381AA7" w:rsidRDefault="00381AA7" w:rsidP="007C383F">
      <w:pPr>
        <w:pStyle w:val="ListParagraph"/>
        <w:numPr>
          <w:ilvl w:val="0"/>
          <w:numId w:val="31"/>
        </w:numPr>
        <w:tabs>
          <w:tab w:val="left" w:pos="6765"/>
        </w:tabs>
        <w:rPr>
          <w:rFonts w:eastAsiaTheme="minorEastAsia"/>
        </w:rPr>
      </w:pPr>
      <w:r>
        <w:rPr>
          <w:rFonts w:eastAsiaTheme="minorEastAsia"/>
        </w:rPr>
        <w:t>The equating of usefulness to information content is called the information approach to decision usefulness of financial reporting</w:t>
      </w:r>
    </w:p>
    <w:p w14:paraId="62945778" w14:textId="77777777" w:rsidR="00381AA7" w:rsidRDefault="00381AA7" w:rsidP="007C383F">
      <w:pPr>
        <w:pStyle w:val="ListParagraph"/>
        <w:numPr>
          <w:ilvl w:val="0"/>
          <w:numId w:val="31"/>
        </w:numPr>
        <w:tabs>
          <w:tab w:val="left" w:pos="6765"/>
        </w:tabs>
        <w:rPr>
          <w:rFonts w:eastAsiaTheme="minorEastAsia"/>
        </w:rPr>
      </w:pPr>
      <w:r>
        <w:rPr>
          <w:rFonts w:eastAsiaTheme="minorEastAsia"/>
        </w:rPr>
        <w:t>Information approach takes the view that investors want to make their own predictions of future security returns and are capable of gathering all useful information in this regard</w:t>
      </w:r>
    </w:p>
    <w:p w14:paraId="6FEC75D3" w14:textId="77777777" w:rsidR="00381AA7" w:rsidRDefault="00381AA7" w:rsidP="007C383F">
      <w:pPr>
        <w:pStyle w:val="ListParagraph"/>
        <w:numPr>
          <w:ilvl w:val="0"/>
          <w:numId w:val="31"/>
        </w:numPr>
        <w:tabs>
          <w:tab w:val="left" w:pos="6765"/>
        </w:tabs>
        <w:rPr>
          <w:rFonts w:eastAsiaTheme="minorEastAsia"/>
        </w:rPr>
      </w:pPr>
      <w:r>
        <w:rPr>
          <w:rFonts w:eastAsiaTheme="minorEastAsia"/>
        </w:rPr>
        <w:t>The information approach implies that empirical research can help accountants to further increase usefulness by letting market response guide them as to what information is and is not valued by investors</w:t>
      </w:r>
    </w:p>
    <w:p w14:paraId="5D711AAF" w14:textId="77777777" w:rsidR="00381AA7" w:rsidRDefault="00381AA7" w:rsidP="007C383F">
      <w:pPr>
        <w:pStyle w:val="ListParagraph"/>
        <w:numPr>
          <w:ilvl w:val="0"/>
          <w:numId w:val="31"/>
        </w:numPr>
        <w:tabs>
          <w:tab w:val="left" w:pos="6765"/>
        </w:tabs>
        <w:rPr>
          <w:rFonts w:eastAsiaTheme="minorEastAsia"/>
        </w:rPr>
      </w:pPr>
      <w:r>
        <w:rPr>
          <w:rFonts w:eastAsiaTheme="minorEastAsia"/>
        </w:rPr>
        <w:t xml:space="preserve">The </w:t>
      </w:r>
      <w:r w:rsidRPr="00381AA7">
        <w:rPr>
          <w:rFonts w:eastAsiaTheme="minorEastAsia"/>
          <w:b/>
        </w:rPr>
        <w:t>information approach</w:t>
      </w:r>
      <w:r>
        <w:rPr>
          <w:rFonts w:eastAsiaTheme="minorEastAsia"/>
        </w:rPr>
        <w:t xml:space="preserve"> to decision usefulness is an approach to financial reporting that recognizes individual responsibility for predicting future firm performance and that concentrates on providing useful information for this purpose</w:t>
      </w:r>
    </w:p>
    <w:p w14:paraId="57198F4D" w14:textId="77777777" w:rsidR="00381AA7" w:rsidRDefault="00381AA7" w:rsidP="007C383F">
      <w:pPr>
        <w:pStyle w:val="ListParagraph"/>
        <w:numPr>
          <w:ilvl w:val="1"/>
          <w:numId w:val="31"/>
        </w:numPr>
        <w:tabs>
          <w:tab w:val="left" w:pos="6765"/>
        </w:tabs>
        <w:rPr>
          <w:rFonts w:eastAsiaTheme="minorEastAsia"/>
        </w:rPr>
      </w:pPr>
      <w:r>
        <w:rPr>
          <w:rFonts w:eastAsiaTheme="minorEastAsia"/>
        </w:rPr>
        <w:t>The approach assumes securities market efficiency, recognizing that the market will react to useful information from any source, including financial statements</w:t>
      </w:r>
    </w:p>
    <w:p w14:paraId="0A9B741D" w14:textId="77777777" w:rsidR="00381AA7" w:rsidRPr="000656C9" w:rsidRDefault="00E73066" w:rsidP="00E73066">
      <w:pPr>
        <w:tabs>
          <w:tab w:val="left" w:pos="6765"/>
        </w:tabs>
        <w:rPr>
          <w:rFonts w:eastAsiaTheme="minorEastAsia"/>
          <w:b/>
        </w:rPr>
      </w:pPr>
      <w:r w:rsidRPr="000656C9">
        <w:rPr>
          <w:rFonts w:eastAsiaTheme="minorEastAsia"/>
          <w:b/>
        </w:rPr>
        <w:t>5</w:t>
      </w:r>
      <w:r w:rsidR="003A4B41">
        <w:rPr>
          <w:rFonts w:eastAsiaTheme="minorEastAsia"/>
          <w:b/>
        </w:rPr>
        <w:t>.2.2 Finding the Market Re</w:t>
      </w:r>
      <w:r w:rsidR="00297A28">
        <w:rPr>
          <w:rFonts w:eastAsiaTheme="minorEastAsia"/>
          <w:b/>
        </w:rPr>
        <w:t>s</w:t>
      </w:r>
      <w:r w:rsidR="003A4B41">
        <w:rPr>
          <w:rFonts w:eastAsiaTheme="minorEastAsia"/>
          <w:b/>
        </w:rPr>
        <w:t>ponse</w:t>
      </w:r>
    </w:p>
    <w:p w14:paraId="08C228AC" w14:textId="77777777" w:rsidR="000656C9" w:rsidRDefault="000679A8" w:rsidP="00E73066">
      <w:pPr>
        <w:tabs>
          <w:tab w:val="left" w:pos="6765"/>
        </w:tabs>
        <w:rPr>
          <w:rFonts w:eastAsiaTheme="minorEastAsia"/>
        </w:rPr>
      </w:pPr>
      <w:r>
        <w:rPr>
          <w:rFonts w:eastAsiaTheme="minorEastAsia"/>
          <w:noProof/>
          <w:lang w:eastAsia="en-CA"/>
        </w:rPr>
        <w:pict w14:anchorId="0FF3B074">
          <v:shape id="_x0000_s1082" type="#_x0000_t202" style="position:absolute;margin-left:281.25pt;margin-top:.05pt;width:61.5pt;height:40.5pt;z-index:251656190" stroked="f">
            <v:textbox>
              <w:txbxContent>
                <w:p w14:paraId="7474E4B4" w14:textId="77777777" w:rsidR="005C38F6" w:rsidRPr="000656C9" w:rsidRDefault="005C38F6">
                  <w:pPr>
                    <w:rPr>
                      <w:color w:val="FF0000"/>
                    </w:rPr>
                  </w:pPr>
                  <w:r w:rsidRPr="000656C9">
                    <w:rPr>
                      <w:color w:val="FF0000"/>
                    </w:rPr>
                    <w:t>Share Price +/-</w:t>
                  </w:r>
                </w:p>
              </w:txbxContent>
            </v:textbox>
          </v:shape>
        </w:pict>
      </w:r>
      <w:r>
        <w:rPr>
          <w:rFonts w:eastAsiaTheme="minorEastAsia"/>
          <w:noProof/>
          <w:lang w:eastAsia="en-CA"/>
        </w:rPr>
        <w:pict w14:anchorId="12C4FC8E">
          <v:shape id="_x0000_s1081" type="#_x0000_t34" style="position:absolute;margin-left:322.5pt;margin-top:9.05pt;width:58.5pt;height:48.75pt;rotation:180;z-index:251707392" o:connectortype="elbow" adj=",-183434,-167262" strokecolor="red" strokeweight="3pt">
            <v:stroke endarrow="block"/>
          </v:shape>
        </w:pict>
      </w:r>
      <w:r>
        <w:rPr>
          <w:rFonts w:eastAsiaTheme="minorEastAsia"/>
          <w:noProof/>
          <w:lang w:eastAsia="en-CA"/>
        </w:rPr>
        <w:pict w14:anchorId="2A197FB8">
          <v:shape id="_x0000_s1080" type="#_x0000_t202" style="position:absolute;margin-left:314.25pt;margin-top:86.7pt;width:170.25pt;height:154.85pt;z-index:251706368" stroked="f">
            <v:textbox>
              <w:txbxContent>
                <w:p w14:paraId="3F8EF3D5" w14:textId="77777777" w:rsidR="005C38F6" w:rsidRDefault="005C38F6">
                  <w:r>
                    <w:t xml:space="preserve">We observe the volume of shares traded to increase when the firm reports net income.  The greater prior expectations differ from actual results, the greater the trading. If investor interpretation of good news outweighs bad news, then the price of the share should go up (vice versa). </w:t>
                  </w:r>
                </w:p>
              </w:txbxContent>
            </v:textbox>
          </v:shape>
        </w:pict>
      </w:r>
      <w:r>
        <w:rPr>
          <w:rFonts w:eastAsiaTheme="minorEastAsia"/>
          <w:noProof/>
          <w:lang w:eastAsia="en-CA"/>
        </w:rPr>
        <w:pict w14:anchorId="2F458F29">
          <v:shape id="_x0000_s1079" type="#_x0000_t202" style="position:absolute;margin-left:50.25pt;margin-top:5.3pt;width:105.75pt;height:35.25pt;z-index:251657215" stroked="f">
            <v:textbox>
              <w:txbxContent>
                <w:p w14:paraId="5AED4C87" w14:textId="77777777" w:rsidR="005C38F6" w:rsidRPr="000656C9" w:rsidRDefault="005C38F6">
                  <w:pPr>
                    <w:rPr>
                      <w:color w:val="FF0000"/>
                    </w:rPr>
                  </w:pPr>
                  <w:r w:rsidRPr="000656C9">
                    <w:rPr>
                      <w:color w:val="FF0000"/>
                    </w:rPr>
                    <w:t>Release of current period’s net income</w:t>
                  </w:r>
                </w:p>
                <w:p w14:paraId="5C9DB141" w14:textId="77777777" w:rsidR="005C38F6" w:rsidRDefault="005C38F6"/>
              </w:txbxContent>
            </v:textbox>
          </v:shape>
        </w:pict>
      </w:r>
      <w:r>
        <w:rPr>
          <w:rFonts w:eastAsiaTheme="minorEastAsia"/>
          <w:noProof/>
          <w:lang w:eastAsia="en-CA"/>
        </w:rPr>
        <w:pict w14:anchorId="1A91DF27">
          <v:shape id="_x0000_s1078" type="#_x0000_t34" style="position:absolute;margin-left:144.75pt;margin-top:16.55pt;width:42.75pt;height:41.25pt;rotation:180;z-index:251705344" o:connectortype="elbow" adj="10787,-216785,-131116" strokecolor="red" strokeweight="2.25pt">
            <v:stroke endarrow="block"/>
          </v:shape>
        </w:pict>
      </w:r>
      <w:r>
        <w:rPr>
          <w:rFonts w:eastAsiaTheme="minorEastAsia"/>
          <w:noProof/>
          <w:lang w:eastAsia="en-CA"/>
        </w:rPr>
        <w:pict w14:anchorId="692AAB0A">
          <v:shape id="_x0000_s1077" type="#_x0000_t202" style="position:absolute;margin-left:136.5pt;margin-top:86.7pt;width:129.75pt;height:150pt;z-index:251704320" stroked="f">
            <v:textbox>
              <w:txbxContent>
                <w:p w14:paraId="033959C7" w14:textId="77777777" w:rsidR="005C38F6" w:rsidRDefault="005C38F6">
                  <w:r>
                    <w:t>Investors will become more informed by analyzing the net income number. If net income &gt; than expected – good news (vice versa). Use Bayes’ Theorem to revise beliefs about future firm performance</w:t>
                  </w:r>
                </w:p>
              </w:txbxContent>
            </v:textbox>
          </v:shape>
        </w:pict>
      </w:r>
      <w:r>
        <w:rPr>
          <w:rFonts w:eastAsiaTheme="minorEastAsia"/>
          <w:noProof/>
          <w:lang w:eastAsia="en-CA"/>
        </w:rPr>
        <w:pict w14:anchorId="24F0909A">
          <v:shape id="_x0000_s1076" type="#_x0000_t202" style="position:absolute;margin-left:-18.75pt;margin-top:86.7pt;width:129.75pt;height:130.5pt;z-index:251703296" stroked="f">
            <v:textbox>
              <w:txbxContent>
                <w:p w14:paraId="0DA0DA0E" w14:textId="77777777" w:rsidR="005C38F6" w:rsidRDefault="005C38F6">
                  <w:r>
                    <w:t>Investors have prior beliefs about firm’s performance based on all available information, including the market price up until the point before release of net income</w:t>
                  </w:r>
                </w:p>
              </w:txbxContent>
            </v:textbox>
          </v:shape>
        </w:pict>
      </w:r>
      <w:r>
        <w:rPr>
          <w:rFonts w:eastAsiaTheme="minorEastAsia"/>
          <w:noProof/>
          <w:lang w:eastAsia="en-CA"/>
        </w:rPr>
        <w:pict w14:anchorId="3BE821FD">
          <v:shape id="_x0000_s1075" type="#_x0000_t67" style="position:absolute;margin-left:375.75pt;margin-top:40.55pt;width:28.5pt;height:46.15pt;z-index:251702272">
            <v:textbox style="layout-flow:vertical-ideographic"/>
          </v:shape>
        </w:pict>
      </w:r>
      <w:r>
        <w:rPr>
          <w:rFonts w:eastAsiaTheme="minorEastAsia"/>
          <w:noProof/>
          <w:lang w:eastAsia="en-CA"/>
        </w:rPr>
        <w:pict w14:anchorId="536CA9AC">
          <v:shape id="_x0000_s1074" type="#_x0000_t67" style="position:absolute;margin-left:183pt;margin-top:40.55pt;width:28.5pt;height:46.15pt;z-index:251701248">
            <v:textbox style="layout-flow:vertical-ideographic"/>
          </v:shape>
        </w:pict>
      </w:r>
      <w:r>
        <w:rPr>
          <w:rFonts w:eastAsiaTheme="minorEastAsia"/>
          <w:noProof/>
          <w:lang w:eastAsia="en-CA"/>
        </w:rPr>
        <w:pict w14:anchorId="0AB5FF42">
          <v:shape id="_x0000_s1073" type="#_x0000_t67" style="position:absolute;margin-left:31.5pt;margin-top:40.55pt;width:28.5pt;height:46.15pt;z-index:251700224">
            <v:textbox style="layout-flow:vertical-ideographic"/>
          </v:shape>
        </w:pict>
      </w:r>
      <w:r>
        <w:rPr>
          <w:rFonts w:eastAsiaTheme="minorEastAsia"/>
          <w:noProof/>
          <w:lang w:eastAsia="en-CA"/>
        </w:rPr>
        <w:pict w14:anchorId="030E3D4E">
          <v:shape id="_x0000_s1072" type="#_x0000_t32" style="position:absolute;margin-left:-6pt;margin-top:57.8pt;width:490.5pt;height:0;z-index:251699200" o:connectortype="straight"/>
        </w:pict>
      </w:r>
    </w:p>
    <w:p w14:paraId="1B9F0170" w14:textId="77777777" w:rsidR="000656C9" w:rsidRPr="000656C9" w:rsidRDefault="000679A8" w:rsidP="000656C9">
      <w:pPr>
        <w:rPr>
          <w:rFonts w:eastAsiaTheme="minorEastAsia"/>
        </w:rPr>
      </w:pPr>
      <w:r>
        <w:rPr>
          <w:rFonts w:eastAsiaTheme="minorEastAsia"/>
          <w:noProof/>
          <w:lang w:eastAsia="en-CA"/>
        </w:rPr>
        <w:pict w14:anchorId="545280E6">
          <v:oval id="_x0000_s1087" style="position:absolute;margin-left:19.5pt;margin-top:5.35pt;width:50.25pt;height:63pt;z-index:251712512" filled="f" strokecolor="#7030a0" strokeweight="1.5pt"/>
        </w:pict>
      </w:r>
      <w:r>
        <w:rPr>
          <w:rFonts w:eastAsiaTheme="minorEastAsia"/>
          <w:noProof/>
          <w:lang w:eastAsia="en-CA"/>
        </w:rPr>
        <w:pict w14:anchorId="7C27CDCC">
          <v:roundrect id="_x0000_s1083" style="position:absolute;margin-left:202.5pt;margin-top:22.6pt;width:58.5pt;height:23.25pt;z-index:251708416" arcsize="10923f" filled="f" fillcolor="yellow" strokecolor="#7030a0"/>
        </w:pict>
      </w:r>
    </w:p>
    <w:p w14:paraId="3E06ECF2" w14:textId="77777777" w:rsidR="000656C9" w:rsidRPr="000656C9" w:rsidRDefault="000679A8" w:rsidP="000656C9">
      <w:pPr>
        <w:rPr>
          <w:rFonts w:eastAsiaTheme="minorEastAsia"/>
        </w:rPr>
      </w:pPr>
      <w:r>
        <w:rPr>
          <w:rFonts w:eastAsiaTheme="minorEastAsia"/>
          <w:noProof/>
          <w:lang w:eastAsia="en-CA"/>
        </w:rPr>
        <w:pict w14:anchorId="1E0EFE94">
          <v:shape id="_x0000_s1093" type="#_x0000_t32" style="position:absolute;margin-left:261pt;margin-top:15.9pt;width:0;height:192pt;z-index:251716608" o:connectortype="straight"/>
        </w:pict>
      </w:r>
      <w:r>
        <w:rPr>
          <w:rFonts w:eastAsiaTheme="minorEastAsia"/>
          <w:noProof/>
          <w:lang w:eastAsia="en-CA"/>
        </w:rPr>
        <w:pict w14:anchorId="404923CC">
          <v:shape id="_x0000_s1091" type="#_x0000_t32" style="position:absolute;margin-left:118.5pt;margin-top:20.4pt;width:0;height:198.75pt;z-index:251714560" o:connectortype="straight"/>
        </w:pict>
      </w:r>
      <w:r>
        <w:rPr>
          <w:rFonts w:eastAsiaTheme="minorEastAsia"/>
          <w:noProof/>
          <w:lang w:eastAsia="en-CA"/>
        </w:rPr>
        <w:pict w14:anchorId="50EF0D25">
          <v:shape id="_x0000_s1090" type="#_x0000_t32" style="position:absolute;margin-left:69.75pt;margin-top:20.4pt;width:48.75pt;height:0;z-index:251713536" o:connectortype="straight"/>
        </w:pict>
      </w:r>
      <w:r>
        <w:rPr>
          <w:rFonts w:eastAsiaTheme="minorEastAsia"/>
          <w:noProof/>
          <w:lang w:eastAsia="en-CA"/>
        </w:rPr>
        <w:pict w14:anchorId="7DD81B94">
          <v:shape id="_x0000_s1084" type="#_x0000_t32" style="position:absolute;margin-left:202.5pt;margin-top:11.4pt;width:58.5pt;height:0;z-index:251709440" o:connectortype="straight">
            <v:stroke startarrow="block" endarrow="block"/>
          </v:shape>
        </w:pict>
      </w:r>
    </w:p>
    <w:p w14:paraId="2ABCCFCA" w14:textId="77777777" w:rsidR="000656C9" w:rsidRPr="000656C9" w:rsidRDefault="000656C9" w:rsidP="000656C9">
      <w:pPr>
        <w:rPr>
          <w:rFonts w:eastAsiaTheme="minorEastAsia"/>
        </w:rPr>
      </w:pPr>
    </w:p>
    <w:p w14:paraId="287C43FD" w14:textId="77777777" w:rsidR="000656C9" w:rsidRPr="000656C9" w:rsidRDefault="000656C9" w:rsidP="000656C9">
      <w:pPr>
        <w:rPr>
          <w:rFonts w:eastAsiaTheme="minorEastAsia"/>
        </w:rPr>
      </w:pPr>
    </w:p>
    <w:p w14:paraId="4248FEF3" w14:textId="77777777" w:rsidR="000656C9" w:rsidRPr="000656C9" w:rsidRDefault="000656C9" w:rsidP="000656C9">
      <w:pPr>
        <w:rPr>
          <w:rFonts w:eastAsiaTheme="minorEastAsia"/>
        </w:rPr>
      </w:pPr>
    </w:p>
    <w:p w14:paraId="05699968" w14:textId="77777777" w:rsidR="000656C9" w:rsidRPr="000656C9" w:rsidRDefault="000656C9" w:rsidP="000656C9">
      <w:pPr>
        <w:rPr>
          <w:rFonts w:eastAsiaTheme="minorEastAsia"/>
        </w:rPr>
      </w:pPr>
    </w:p>
    <w:p w14:paraId="3F2ED830" w14:textId="77777777" w:rsidR="000656C9" w:rsidRPr="000656C9" w:rsidRDefault="000656C9" w:rsidP="000656C9">
      <w:pPr>
        <w:rPr>
          <w:rFonts w:eastAsiaTheme="minorEastAsia"/>
        </w:rPr>
      </w:pPr>
    </w:p>
    <w:p w14:paraId="03288621" w14:textId="77777777" w:rsidR="000656C9" w:rsidRPr="000656C9" w:rsidRDefault="000656C9" w:rsidP="000656C9">
      <w:pPr>
        <w:rPr>
          <w:rFonts w:eastAsiaTheme="minorEastAsia"/>
        </w:rPr>
      </w:pPr>
    </w:p>
    <w:p w14:paraId="44AE478D" w14:textId="77777777" w:rsidR="000656C9" w:rsidRPr="000656C9" w:rsidRDefault="000679A8" w:rsidP="000656C9">
      <w:pPr>
        <w:rPr>
          <w:rFonts w:eastAsiaTheme="minorEastAsia"/>
        </w:rPr>
      </w:pPr>
      <w:r>
        <w:rPr>
          <w:rFonts w:eastAsiaTheme="minorEastAsia"/>
          <w:noProof/>
          <w:lang w:eastAsia="en-CA"/>
        </w:rPr>
        <w:pict w14:anchorId="66A7067B">
          <v:shape id="_x0000_s1092" type="#_x0000_t202" style="position:absolute;margin-left:-30pt;margin-top:20.8pt;width:152.25pt;height:129pt;z-index:251715584">
            <v:textbox>
              <w:txbxContent>
                <w:p w14:paraId="3F352763" w14:textId="77777777" w:rsidR="005C38F6" w:rsidRPr="00277332" w:rsidRDefault="005C38F6">
                  <w:pPr>
                    <w:rPr>
                      <w:color w:val="7030A0"/>
                    </w:rPr>
                  </w:pPr>
                  <w:r w:rsidRPr="00277332">
                    <w:rPr>
                      <w:color w:val="7030A0"/>
                    </w:rPr>
                    <w:t>Researchers must obtain a proxy for what investors expect net income to be prior to the release of net income. Find out what their prior beliefs are.</w:t>
                  </w:r>
                  <w:r>
                    <w:rPr>
                      <w:color w:val="7030A0"/>
                    </w:rPr>
                    <w:t xml:space="preserve"> Do this by looking at</w:t>
                  </w:r>
                  <w:proofErr w:type="gramStart"/>
                  <w:r>
                    <w:rPr>
                      <w:color w:val="7030A0"/>
                    </w:rPr>
                    <w:t>;</w:t>
                  </w:r>
                  <w:proofErr w:type="gramEnd"/>
                  <w:r>
                    <w:rPr>
                      <w:color w:val="7030A0"/>
                    </w:rPr>
                    <w:t xml:space="preserve"> 1.Past performance, 2. Earnings Persistence</w:t>
                  </w:r>
                </w:p>
              </w:txbxContent>
            </v:textbox>
          </v:shape>
        </w:pict>
      </w:r>
    </w:p>
    <w:p w14:paraId="6CFBC277" w14:textId="77777777" w:rsidR="003A4B41" w:rsidRDefault="000679A8" w:rsidP="00277332">
      <w:pPr>
        <w:pStyle w:val="ListParagraph"/>
        <w:ind w:left="360"/>
        <w:rPr>
          <w:rFonts w:eastAsiaTheme="minorEastAsia"/>
        </w:rPr>
      </w:pPr>
      <w:r>
        <w:rPr>
          <w:rFonts w:eastAsiaTheme="minorEastAsia"/>
          <w:noProof/>
          <w:lang w:eastAsia="en-CA"/>
        </w:rPr>
        <w:pict w14:anchorId="30B0977E">
          <v:shape id="_x0000_s1086" type="#_x0000_t202" style="position:absolute;left:0;text-align:left;margin-left:160.5pt;margin-top:4.35pt;width:273.75pt;height:86.25pt;z-index:251711488">
            <v:textbox>
              <w:txbxContent>
                <w:p w14:paraId="055F3DAC" w14:textId="77777777" w:rsidR="005C38F6" w:rsidRPr="00277332" w:rsidRDefault="005C38F6">
                  <w:pPr>
                    <w:rPr>
                      <w:color w:val="7030A0"/>
                    </w:rPr>
                  </w:pPr>
                  <w:r w:rsidRPr="00277332">
                    <w:rPr>
                      <w:color w:val="7030A0"/>
                    </w:rPr>
                    <w:t>Since efficient market’s theory implies that the market will react quickly to new information, empirical studies should be designed to test market reaction to release of net income in a narrow window of a few days surrounding the date</w:t>
                  </w:r>
                </w:p>
              </w:txbxContent>
            </v:textbox>
          </v:shape>
        </w:pict>
      </w:r>
      <w:proofErr w:type="spellStart"/>
      <w:proofErr w:type="gramStart"/>
      <w:r w:rsidR="00277332">
        <w:rPr>
          <w:rFonts w:eastAsiaTheme="minorEastAsia"/>
        </w:rPr>
        <w:t>hio</w:t>
      </w:r>
      <w:proofErr w:type="spellEnd"/>
      <w:proofErr w:type="gramEnd"/>
    </w:p>
    <w:p w14:paraId="116042B3" w14:textId="77777777" w:rsidR="003A4B41" w:rsidRPr="003A4B41" w:rsidRDefault="000679A8" w:rsidP="003A4B41">
      <w:r>
        <w:rPr>
          <w:noProof/>
          <w:lang w:eastAsia="en-CA"/>
        </w:rPr>
        <w:pict w14:anchorId="01B08B74">
          <v:shape id="_x0000_s1095" type="#_x0000_t34" style="position:absolute;margin-left:110.25pt;margin-top:30.7pt;width:54pt;height:30pt;rotation:90;flip:x;z-index:251718656" o:connectortype="elbow" adj=",471420,-77700">
            <v:stroke endarrow="block"/>
          </v:shape>
        </w:pict>
      </w:r>
    </w:p>
    <w:p w14:paraId="34EB7D0F" w14:textId="77777777" w:rsidR="003A4B41" w:rsidRDefault="003A4B41" w:rsidP="003A4B41"/>
    <w:p w14:paraId="49296C7C" w14:textId="77777777" w:rsidR="003A4B41" w:rsidRDefault="000679A8" w:rsidP="003A4B41">
      <w:r>
        <w:rPr>
          <w:noProof/>
          <w:lang w:eastAsia="en-CA"/>
        </w:rPr>
        <w:pict w14:anchorId="6CE289F9">
          <v:shape id="_x0000_s1094" type="#_x0000_t202" style="position:absolute;margin-left:131.25pt;margin-top:21.8pt;width:393pt;height:52.5pt;z-index:251717632">
            <v:textbox>
              <w:txbxContent>
                <w:p w14:paraId="3656A70B" w14:textId="77777777" w:rsidR="005C38F6" w:rsidRDefault="005C38F6">
                  <w:r>
                    <w:t xml:space="preserve">Earnings Persistence: if earnings are completely persistent then expected earnings </w:t>
                  </w:r>
                  <w:proofErr w:type="gramStart"/>
                  <w:r>
                    <w:t>will</w:t>
                  </w:r>
                  <w:proofErr w:type="gramEnd"/>
                  <w:r>
                    <w:t xml:space="preserve"> equal last year’s earnings. Unexpected earnings is the change in earnings from last year</w:t>
                  </w:r>
                </w:p>
              </w:txbxContent>
            </v:textbox>
          </v:shape>
        </w:pict>
      </w:r>
    </w:p>
    <w:p w14:paraId="5533A830" w14:textId="77777777" w:rsidR="003A4B41" w:rsidRPr="00DE6032" w:rsidRDefault="003A4B41" w:rsidP="003A4B41">
      <w:pPr>
        <w:rPr>
          <w:b/>
        </w:rPr>
      </w:pPr>
      <w:r w:rsidRPr="00DE6032">
        <w:rPr>
          <w:b/>
        </w:rPr>
        <w:lastRenderedPageBreak/>
        <w:t>5.2.3 Separating Market-Wide and Firm-Specific Factors</w:t>
      </w:r>
    </w:p>
    <w:p w14:paraId="39C81CCB" w14:textId="77777777" w:rsidR="003A4B41" w:rsidRDefault="0002113F" w:rsidP="007C383F">
      <w:pPr>
        <w:pStyle w:val="ListParagraph"/>
        <w:numPr>
          <w:ilvl w:val="0"/>
          <w:numId w:val="32"/>
        </w:numPr>
      </w:pPr>
      <w:r>
        <w:t>It is desirable to separate the impacts of market-wide and firm-specific factors on share returns because a public announcement that impacts prices of most shares on the market would take away from the effect of firm-specific news</w:t>
      </w:r>
    </w:p>
    <w:p w14:paraId="4D056C0A" w14:textId="77777777" w:rsidR="0002113F" w:rsidRDefault="0002113F" w:rsidP="007C383F">
      <w:pPr>
        <w:pStyle w:val="ListParagraph"/>
        <w:numPr>
          <w:ilvl w:val="0"/>
          <w:numId w:val="32"/>
        </w:numPr>
      </w:pPr>
      <w:r>
        <w:t>The Market Model of CAPM separates market wide and firm specific factors</w:t>
      </w:r>
    </w:p>
    <w:p w14:paraId="640EA2BB" w14:textId="77777777" w:rsidR="0002113F" w:rsidRDefault="0002113F" w:rsidP="007C383F">
      <w:pPr>
        <w:pStyle w:val="ListParagraph"/>
        <w:numPr>
          <w:ilvl w:val="1"/>
          <w:numId w:val="32"/>
        </w:numPr>
      </w:pPr>
      <w:r>
        <w:t>Expected Return = Market wide factors</w:t>
      </w:r>
    </w:p>
    <w:p w14:paraId="2085DDBE" w14:textId="77777777" w:rsidR="0002113F" w:rsidRDefault="0002113F" w:rsidP="007C383F">
      <w:pPr>
        <w:pStyle w:val="ListParagraph"/>
        <w:numPr>
          <w:ilvl w:val="1"/>
          <w:numId w:val="32"/>
        </w:numPr>
      </w:pPr>
      <w:r>
        <w:t>Abnormal Return = Firm specific factors</w:t>
      </w:r>
    </w:p>
    <w:p w14:paraId="4A987486" w14:textId="77777777" w:rsidR="0002113F" w:rsidRDefault="00857F70" w:rsidP="007C383F">
      <w:pPr>
        <w:pStyle w:val="ListParagraph"/>
        <w:numPr>
          <w:ilvl w:val="0"/>
          <w:numId w:val="32"/>
        </w:numPr>
      </w:pPr>
      <w:r>
        <w:t>Researchers should compare the abnormal share return with the unexpected component of the firm’s current reported net income</w:t>
      </w:r>
    </w:p>
    <w:p w14:paraId="55BB22DA" w14:textId="77777777" w:rsidR="00857F70" w:rsidRDefault="00857F70" w:rsidP="007C383F">
      <w:pPr>
        <w:pStyle w:val="ListParagraph"/>
        <w:numPr>
          <w:ilvl w:val="1"/>
          <w:numId w:val="32"/>
        </w:numPr>
      </w:pPr>
      <w:r>
        <w:t>If the unexpected net income is good news, then, given securities market efficiency, abnormal share return should be positive (increased)</w:t>
      </w:r>
    </w:p>
    <w:p w14:paraId="0734EDCD" w14:textId="77777777" w:rsidR="00857F70" w:rsidRDefault="000679A8" w:rsidP="007C383F">
      <w:pPr>
        <w:pStyle w:val="ListParagraph"/>
        <w:numPr>
          <w:ilvl w:val="1"/>
          <w:numId w:val="32"/>
        </w:numPr>
      </w:pPr>
      <w:r>
        <w:rPr>
          <w:noProof/>
          <w:lang w:eastAsia="en-CA"/>
        </w:rPr>
        <w:pict w14:anchorId="49D41570">
          <v:shape id="_x0000_s1103" type="#_x0000_t202" style="position:absolute;left:0;text-align:left;margin-left:124.5pt;margin-top:33.65pt;width:59.25pt;height:18pt;z-index:251725824" stroked="f">
            <v:textbox>
              <w:txbxContent>
                <w:p w14:paraId="521AEB5D" w14:textId="77777777" w:rsidR="005C38F6" w:rsidRPr="00702A49" w:rsidRDefault="005C38F6" w:rsidP="00702A49">
                  <w:pPr>
                    <w:rPr>
                      <w:color w:val="FF0000"/>
                    </w:rPr>
                  </w:pPr>
                  <w:r w:rsidRPr="00702A49">
                    <w:rPr>
                      <w:color w:val="FF0000"/>
                    </w:rPr>
                    <w:t>- 2 days</w:t>
                  </w:r>
                </w:p>
              </w:txbxContent>
            </v:textbox>
          </v:shape>
        </w:pict>
      </w:r>
      <w:r>
        <w:rPr>
          <w:noProof/>
          <w:lang w:eastAsia="en-CA"/>
        </w:rPr>
        <w:pict w14:anchorId="68473D88">
          <v:shape id="_x0000_s1102" type="#_x0000_t202" style="position:absolute;left:0;text-align:left;margin-left:237pt;margin-top:33.65pt;width:59.25pt;height:18pt;z-index:251724800" stroked="f">
            <v:textbox>
              <w:txbxContent>
                <w:p w14:paraId="18EFD875" w14:textId="77777777" w:rsidR="005C38F6" w:rsidRPr="00702A49" w:rsidRDefault="005C38F6">
                  <w:pPr>
                    <w:rPr>
                      <w:color w:val="FF0000"/>
                    </w:rPr>
                  </w:pPr>
                  <w:r w:rsidRPr="00702A49">
                    <w:rPr>
                      <w:color w:val="FF0000"/>
                    </w:rPr>
                    <w:t>+ 2 days</w:t>
                  </w:r>
                </w:p>
              </w:txbxContent>
            </v:textbox>
          </v:shape>
        </w:pict>
      </w:r>
      <w:r>
        <w:rPr>
          <w:noProof/>
          <w:lang w:eastAsia="en-CA"/>
        </w:rPr>
        <w:pict w14:anchorId="10106E10">
          <v:shapetype id="_x0000_t186" coordsize="21600,21600" o:spt="186" adj="1800" path="m@9,0nfqx@0@0l@0@7qy0@4@0@8l@0@6qy@9,21600em@10,0nfqx@5@0l@5@7qy21600@4@5@8l@5@6qy@10,21600em@9,0nsqx@0@0l@0@7qy0@4@0@8l@0@6qy@9,21600l@10,21600qx@5@6l@5@8qy21600@4@5@7l@5@0qy@10,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101" type="#_x0000_t186" style="position:absolute;left:0;text-align:left;margin-left:222.75pt;margin-top:33.65pt;width:81.75pt;height:39.75pt;z-index:251723776"/>
        </w:pict>
      </w:r>
      <w:r>
        <w:rPr>
          <w:noProof/>
          <w:lang w:eastAsia="en-CA"/>
        </w:rPr>
        <w:pict w14:anchorId="615B259D">
          <v:shape id="_x0000_s1100" type="#_x0000_t186" style="position:absolute;left:0;text-align:left;margin-left:114pt;margin-top:33.65pt;width:81.75pt;height:39.75pt;z-index:251722752"/>
        </w:pict>
      </w:r>
      <w:r>
        <w:rPr>
          <w:noProof/>
          <w:lang w:eastAsia="en-CA"/>
        </w:rPr>
        <w:pict w14:anchorId="00BEF505">
          <v:shape id="_x0000_s1098" type="#_x0000_t67" style="position:absolute;left:0;text-align:left;margin-left:195.75pt;margin-top:33.65pt;width:27pt;height:36pt;z-index:251721728">
            <v:textbox style="layout-flow:vertical-ideographic"/>
          </v:shape>
        </w:pict>
      </w:r>
      <w:r w:rsidR="00857F70">
        <w:t>If the unexpected net income is bad news, then, given securities market efficiency, abnormal share return should be negative (decreased)</w:t>
      </w:r>
    </w:p>
    <w:p w14:paraId="14937478" w14:textId="77777777" w:rsidR="00702A49" w:rsidRDefault="000679A8" w:rsidP="00857F70">
      <w:r>
        <w:rPr>
          <w:noProof/>
          <w:lang w:eastAsia="en-CA"/>
        </w:rPr>
        <w:pict w14:anchorId="38CA7365">
          <v:shape id="_x0000_s1106" type="#_x0000_t202" style="position:absolute;margin-left:-4.5pt;margin-top:99.25pt;width:474pt;height:46.5pt;z-index:251728896">
            <v:textbox>
              <w:txbxContent>
                <w:p w14:paraId="3FE97F2B" w14:textId="77777777" w:rsidR="005C38F6" w:rsidRDefault="005C38F6">
                  <w:r>
                    <w:t>The researcher may wish to examine a few days on either side of day 0. The market may learn of the news early or it may take a few days for the information to digest.</w:t>
                  </w:r>
                </w:p>
              </w:txbxContent>
            </v:textbox>
          </v:shape>
        </w:pict>
      </w:r>
      <w:r>
        <w:rPr>
          <w:noProof/>
          <w:lang w:eastAsia="en-CA"/>
        </w:rPr>
        <w:pict w14:anchorId="49B9B479">
          <v:shape id="_x0000_s1108" type="#_x0000_t32" style="position:absolute;margin-left:296.25pt;margin-top:32.5pt;width:0;height:70.5pt;z-index:251730944" o:connectortype="straight">
            <v:stroke endarrow="block"/>
          </v:shape>
        </w:pict>
      </w:r>
      <w:r>
        <w:rPr>
          <w:noProof/>
          <w:lang w:eastAsia="en-CA"/>
        </w:rPr>
        <w:pict w14:anchorId="744D4F89">
          <v:shape id="_x0000_s1107" type="#_x0000_t32" style="position:absolute;margin-left:119.25pt;margin-top:32.5pt;width:0;height:70.5pt;z-index:251729920" o:connectortype="straight">
            <v:stroke endarrow="block"/>
          </v:shape>
        </w:pict>
      </w:r>
      <w:r>
        <w:rPr>
          <w:noProof/>
          <w:lang w:eastAsia="en-CA"/>
        </w:rPr>
        <w:pict w14:anchorId="54F122D8">
          <v:shape id="_x0000_s1105" type="#_x0000_t32" style="position:absolute;margin-left:296.25pt;margin-top:32.5pt;width:0;height:70.5pt;z-index:251727872" o:connectortype="straight"/>
        </w:pict>
      </w:r>
      <w:r>
        <w:rPr>
          <w:noProof/>
          <w:lang w:eastAsia="en-CA"/>
        </w:rPr>
        <w:pict w14:anchorId="41D29DD9">
          <v:shape id="_x0000_s1104" type="#_x0000_t32" style="position:absolute;margin-left:119.25pt;margin-top:32.5pt;width:0;height:66.75pt;z-index:251726848" o:connectortype="straight"/>
        </w:pict>
      </w:r>
      <w:r>
        <w:rPr>
          <w:noProof/>
          <w:lang w:eastAsia="en-CA"/>
        </w:rPr>
        <w:pict w14:anchorId="47FE5E74">
          <v:shape id="_x0000_s1097" type="#_x0000_t202" style="position:absolute;margin-left:157.5pt;margin-top:32.5pt;width:125.25pt;height:39pt;z-index:251720704" stroked="f">
            <v:textbox>
              <w:txbxContent>
                <w:p w14:paraId="1EC248E8" w14:textId="77777777" w:rsidR="005C38F6" w:rsidRDefault="005C38F6">
                  <w:r>
                    <w:t>DAY 0: Firm’s current earnings announcement</w:t>
                  </w:r>
                </w:p>
              </w:txbxContent>
            </v:textbox>
          </v:shape>
        </w:pict>
      </w:r>
      <w:r>
        <w:rPr>
          <w:noProof/>
          <w:lang w:eastAsia="en-CA"/>
        </w:rPr>
        <w:pict w14:anchorId="047A7311">
          <v:shape id="_x0000_s1096" type="#_x0000_t32" style="position:absolute;margin-left:4.5pt;margin-top:10.75pt;width:456.75pt;height:0;z-index:251719680" o:connectortype="straight"/>
        </w:pict>
      </w:r>
    </w:p>
    <w:p w14:paraId="77E7CC66" w14:textId="77777777" w:rsidR="00702A49" w:rsidRPr="00702A49" w:rsidRDefault="00702A49" w:rsidP="00702A49"/>
    <w:p w14:paraId="129956B9" w14:textId="77777777" w:rsidR="00702A49" w:rsidRPr="00702A49" w:rsidRDefault="00702A49" w:rsidP="00702A49"/>
    <w:p w14:paraId="1FA0BFD1" w14:textId="77777777" w:rsidR="00702A49" w:rsidRPr="00702A49" w:rsidRDefault="00702A49" w:rsidP="00702A49"/>
    <w:p w14:paraId="74EB68C6" w14:textId="77777777" w:rsidR="00702A49" w:rsidRPr="00702A49" w:rsidRDefault="00702A49" w:rsidP="00702A49"/>
    <w:p w14:paraId="061F6872" w14:textId="77777777" w:rsidR="00702A49" w:rsidRPr="00702A49" w:rsidRDefault="00702A49" w:rsidP="00702A49"/>
    <w:p w14:paraId="7DF6A245" w14:textId="77777777" w:rsidR="00857F70" w:rsidRDefault="00702A49" w:rsidP="007C383F">
      <w:pPr>
        <w:pStyle w:val="ListParagraph"/>
        <w:numPr>
          <w:ilvl w:val="0"/>
          <w:numId w:val="33"/>
        </w:numPr>
        <w:tabs>
          <w:tab w:val="left" w:pos="3060"/>
        </w:tabs>
      </w:pPr>
      <w:r>
        <w:t>If there is a relationship between the earnings announcement and abnormal returns then we can conclude:</w:t>
      </w:r>
    </w:p>
    <w:p w14:paraId="79BC2E7E" w14:textId="77777777" w:rsidR="00702A49" w:rsidRDefault="00702A49" w:rsidP="007C383F">
      <w:pPr>
        <w:pStyle w:val="ListParagraph"/>
        <w:numPr>
          <w:ilvl w:val="1"/>
          <w:numId w:val="33"/>
        </w:numPr>
        <w:tabs>
          <w:tab w:val="left" w:pos="3060"/>
        </w:tabs>
      </w:pPr>
      <w:r>
        <w:t>1. Reported net income is useful</w:t>
      </w:r>
    </w:p>
    <w:p w14:paraId="43509AAC" w14:textId="77777777" w:rsidR="00702A49" w:rsidRDefault="00702A49" w:rsidP="007C383F">
      <w:pPr>
        <w:pStyle w:val="ListParagraph"/>
        <w:numPr>
          <w:ilvl w:val="1"/>
          <w:numId w:val="33"/>
        </w:numPr>
        <w:tabs>
          <w:tab w:val="left" w:pos="3060"/>
        </w:tabs>
      </w:pPr>
      <w:r>
        <w:t>2. Predictions based on the decision usefulness approach and efficient securities market theory are supported</w:t>
      </w:r>
    </w:p>
    <w:p w14:paraId="064A9EEA" w14:textId="77777777" w:rsidR="00702A49" w:rsidRDefault="00702A49" w:rsidP="007C383F">
      <w:pPr>
        <w:pStyle w:val="ListParagraph"/>
        <w:numPr>
          <w:ilvl w:val="0"/>
          <w:numId w:val="33"/>
        </w:numPr>
        <w:tabs>
          <w:tab w:val="left" w:pos="3060"/>
        </w:tabs>
      </w:pPr>
      <w:r w:rsidRPr="00531C06">
        <w:rPr>
          <w:b/>
        </w:rPr>
        <w:t>Limitations</w:t>
      </w:r>
      <w:r>
        <w:t>:</w:t>
      </w:r>
    </w:p>
    <w:p w14:paraId="77BF3618" w14:textId="77777777" w:rsidR="00702A49" w:rsidRDefault="00702A49" w:rsidP="007C383F">
      <w:pPr>
        <w:pStyle w:val="ListParagraph"/>
        <w:numPr>
          <w:ilvl w:val="1"/>
          <w:numId w:val="33"/>
        </w:numPr>
        <w:tabs>
          <w:tab w:val="left" w:pos="3060"/>
        </w:tabs>
      </w:pPr>
      <w:r>
        <w:t>Other firm-specific information frequently comes along around the time of a firm’s earnings announcement (i.e. announcement of a stock split)</w:t>
      </w:r>
    </w:p>
    <w:p w14:paraId="7D8B34AB" w14:textId="77777777" w:rsidR="00702A49" w:rsidRDefault="00702A49" w:rsidP="007C383F">
      <w:pPr>
        <w:pStyle w:val="ListParagraph"/>
        <w:numPr>
          <w:ilvl w:val="2"/>
          <w:numId w:val="33"/>
        </w:numPr>
        <w:tabs>
          <w:tab w:val="left" w:pos="3060"/>
        </w:tabs>
      </w:pPr>
      <w:r>
        <w:t>Researchers can solve this problem by removing such firms from the sample</w:t>
      </w:r>
    </w:p>
    <w:p w14:paraId="6070915C" w14:textId="77777777" w:rsidR="00702A49" w:rsidRDefault="00702A49" w:rsidP="007C383F">
      <w:pPr>
        <w:pStyle w:val="ListParagraph"/>
        <w:numPr>
          <w:ilvl w:val="1"/>
          <w:numId w:val="33"/>
        </w:numPr>
        <w:tabs>
          <w:tab w:val="left" w:pos="3060"/>
        </w:tabs>
      </w:pPr>
      <w:r>
        <w:t>Estimation of a firm’s beta, needed to separate market wide and firm-specific returns</w:t>
      </w:r>
    </w:p>
    <w:p w14:paraId="59855F65" w14:textId="77777777" w:rsidR="00531C06" w:rsidRDefault="00531C06" w:rsidP="007C383F">
      <w:pPr>
        <w:pStyle w:val="ListParagraph"/>
        <w:numPr>
          <w:ilvl w:val="2"/>
          <w:numId w:val="33"/>
        </w:numPr>
        <w:tabs>
          <w:tab w:val="left" w:pos="3060"/>
        </w:tabs>
      </w:pPr>
      <w:r>
        <w:t>Firm’s beta changes over time</w:t>
      </w:r>
    </w:p>
    <w:p w14:paraId="6CA991E3" w14:textId="77777777" w:rsidR="00531C06" w:rsidRDefault="00531C06" w:rsidP="007C383F">
      <w:pPr>
        <w:pStyle w:val="ListParagraph"/>
        <w:numPr>
          <w:ilvl w:val="2"/>
          <w:numId w:val="33"/>
        </w:numPr>
        <w:tabs>
          <w:tab w:val="left" w:pos="3060"/>
        </w:tabs>
      </w:pPr>
      <w:r>
        <w:t>If the estimated beta is different from the true beta, this affects the calculation of abnormal return</w:t>
      </w:r>
    </w:p>
    <w:p w14:paraId="404E9665" w14:textId="77777777" w:rsidR="00531C06" w:rsidRDefault="00531C06" w:rsidP="007C383F">
      <w:pPr>
        <w:pStyle w:val="ListParagraph"/>
        <w:numPr>
          <w:ilvl w:val="2"/>
          <w:numId w:val="33"/>
        </w:numPr>
        <w:tabs>
          <w:tab w:val="left" w:pos="3060"/>
        </w:tabs>
      </w:pPr>
      <w:r>
        <w:t>Researchers can solve this problem by estimating it from financial statement data rather than market wide data or by comparing the beta after the earnings announcement to the beta before the earnings announcement</w:t>
      </w:r>
    </w:p>
    <w:p w14:paraId="21EC6DF2" w14:textId="77777777" w:rsidR="00531C06" w:rsidRDefault="00531C06" w:rsidP="007C383F">
      <w:pPr>
        <w:pStyle w:val="ListParagraph"/>
        <w:numPr>
          <w:ilvl w:val="1"/>
          <w:numId w:val="33"/>
        </w:numPr>
        <w:tabs>
          <w:tab w:val="left" w:pos="3060"/>
        </w:tabs>
      </w:pPr>
      <w:r>
        <w:lastRenderedPageBreak/>
        <w:t>There are a number of market return indices available; the Dow Jones is only one. Which should be used?</w:t>
      </w:r>
    </w:p>
    <w:p w14:paraId="06429ACF" w14:textId="77777777" w:rsidR="00531C06" w:rsidRPr="00925BC5" w:rsidRDefault="00531C06" w:rsidP="00531C06">
      <w:pPr>
        <w:tabs>
          <w:tab w:val="left" w:pos="3060"/>
        </w:tabs>
        <w:rPr>
          <w:b/>
        </w:rPr>
      </w:pPr>
      <w:r w:rsidRPr="00925BC5">
        <w:rPr>
          <w:b/>
        </w:rPr>
        <w:t>5.3 The Ball and Brown Study</w:t>
      </w:r>
    </w:p>
    <w:p w14:paraId="4439AC06" w14:textId="77777777" w:rsidR="00531C06" w:rsidRDefault="00013A59" w:rsidP="007C383F">
      <w:pPr>
        <w:pStyle w:val="ListParagraph"/>
        <w:numPr>
          <w:ilvl w:val="0"/>
          <w:numId w:val="34"/>
        </w:numPr>
        <w:tabs>
          <w:tab w:val="left" w:pos="3060"/>
        </w:tabs>
      </w:pPr>
      <w:r>
        <w:t>Ball and Brown were the first to provide convincing scientific evidence that firms’ share returns respond to the information content of financial statements</w:t>
      </w:r>
    </w:p>
    <w:p w14:paraId="73893E30" w14:textId="77777777" w:rsidR="00013A59" w:rsidRDefault="00013A59" w:rsidP="007C383F">
      <w:pPr>
        <w:pStyle w:val="ListParagraph"/>
        <w:numPr>
          <w:ilvl w:val="0"/>
          <w:numId w:val="34"/>
        </w:numPr>
        <w:tabs>
          <w:tab w:val="left" w:pos="3060"/>
        </w:tabs>
      </w:pPr>
      <w:r>
        <w:t>This type of research called an event study – it studies the securities market reaction to a specific event, in this case a firm’s release of its current net income</w:t>
      </w:r>
    </w:p>
    <w:p w14:paraId="7323B9BC" w14:textId="77777777" w:rsidR="00013A59" w:rsidRPr="00925BC5" w:rsidRDefault="00013A59" w:rsidP="007C383F">
      <w:pPr>
        <w:pStyle w:val="ListParagraph"/>
        <w:numPr>
          <w:ilvl w:val="0"/>
          <w:numId w:val="34"/>
        </w:numPr>
        <w:tabs>
          <w:tab w:val="left" w:pos="3060"/>
        </w:tabs>
        <w:rPr>
          <w:u w:val="single"/>
        </w:rPr>
      </w:pPr>
      <w:r w:rsidRPr="00925BC5">
        <w:rPr>
          <w:u w:val="single"/>
        </w:rPr>
        <w:t>Task 1: Measure the information content of earnings</w:t>
      </w:r>
    </w:p>
    <w:p w14:paraId="3C995CB4" w14:textId="77777777" w:rsidR="00013A59" w:rsidRDefault="00013A59" w:rsidP="007C383F">
      <w:pPr>
        <w:pStyle w:val="ListParagraph"/>
        <w:numPr>
          <w:ilvl w:val="1"/>
          <w:numId w:val="34"/>
        </w:numPr>
        <w:tabs>
          <w:tab w:val="left" w:pos="3060"/>
        </w:tabs>
      </w:pPr>
      <w:r>
        <w:t>Determine whether reported earnings were greater than what the market had expected (GN), or less than expected (BN)</w:t>
      </w:r>
    </w:p>
    <w:p w14:paraId="62864586" w14:textId="77777777" w:rsidR="00013A59" w:rsidRDefault="00013A59" w:rsidP="007C383F">
      <w:pPr>
        <w:pStyle w:val="ListParagraph"/>
        <w:numPr>
          <w:ilvl w:val="1"/>
          <w:numId w:val="34"/>
        </w:numPr>
        <w:tabs>
          <w:tab w:val="left" w:pos="3060"/>
        </w:tabs>
      </w:pPr>
      <w:r>
        <w:t>This requires a proxy for the market’s expectation</w:t>
      </w:r>
    </w:p>
    <w:p w14:paraId="5426013E" w14:textId="77777777" w:rsidR="00013A59" w:rsidRDefault="00013A59" w:rsidP="007C383F">
      <w:pPr>
        <w:pStyle w:val="ListParagraph"/>
        <w:numPr>
          <w:ilvl w:val="2"/>
          <w:numId w:val="34"/>
        </w:numPr>
        <w:tabs>
          <w:tab w:val="left" w:pos="3060"/>
        </w:tabs>
      </w:pPr>
      <w:r>
        <w:t>One proxy they used was last year’s actual earnings, from which it follows that unexpected earnings is simply the change in earnings – so firm’s with higher earnings than last year reported GN, and lower than last year’s reported BN</w:t>
      </w:r>
    </w:p>
    <w:p w14:paraId="510A8003" w14:textId="77777777" w:rsidR="00013A59" w:rsidRPr="00925BC5" w:rsidRDefault="00013A59" w:rsidP="007C383F">
      <w:pPr>
        <w:pStyle w:val="ListParagraph"/>
        <w:numPr>
          <w:ilvl w:val="0"/>
          <w:numId w:val="34"/>
        </w:numPr>
        <w:tabs>
          <w:tab w:val="left" w:pos="3060"/>
        </w:tabs>
        <w:rPr>
          <w:u w:val="single"/>
        </w:rPr>
      </w:pPr>
      <w:r w:rsidRPr="00925BC5">
        <w:rPr>
          <w:u w:val="single"/>
        </w:rPr>
        <w:t>Task 2: Evaluate the market return on shares of the sample firms near the time of each earning’s announcement</w:t>
      </w:r>
    </w:p>
    <w:p w14:paraId="1ADDE0CA" w14:textId="77777777" w:rsidR="00013A59" w:rsidRDefault="00013A59" w:rsidP="007C383F">
      <w:pPr>
        <w:pStyle w:val="ListParagraph"/>
        <w:numPr>
          <w:ilvl w:val="1"/>
          <w:numId w:val="34"/>
        </w:numPr>
        <w:tabs>
          <w:tab w:val="left" w:pos="3060"/>
        </w:tabs>
      </w:pPr>
      <w:r>
        <w:t>Analysis of abnormal returns – was there an increase or decrease in abnormal returns arising from a difference in expected and actual return?</w:t>
      </w:r>
    </w:p>
    <w:p w14:paraId="4D0555DC" w14:textId="77777777" w:rsidR="00013A59" w:rsidRDefault="00013A59" w:rsidP="007C383F">
      <w:pPr>
        <w:pStyle w:val="ListParagraph"/>
        <w:numPr>
          <w:ilvl w:val="1"/>
          <w:numId w:val="34"/>
        </w:numPr>
        <w:tabs>
          <w:tab w:val="left" w:pos="3060"/>
        </w:tabs>
      </w:pPr>
      <w:r>
        <w:t xml:space="preserve">If abnormal return increased, we assume that this is a </w:t>
      </w:r>
      <w:proofErr w:type="spellStart"/>
      <w:r>
        <w:t>favorable</w:t>
      </w:r>
      <w:proofErr w:type="spellEnd"/>
      <w:r>
        <w:t xml:space="preserve"> reaction from the market to the good news that was released and vice versa</w:t>
      </w:r>
    </w:p>
    <w:p w14:paraId="60BBC6C4" w14:textId="77777777" w:rsidR="00013A59" w:rsidRDefault="00C4546C" w:rsidP="007C383F">
      <w:pPr>
        <w:pStyle w:val="ListParagraph"/>
        <w:numPr>
          <w:ilvl w:val="1"/>
          <w:numId w:val="34"/>
        </w:numPr>
        <w:tabs>
          <w:tab w:val="left" w:pos="3060"/>
        </w:tabs>
      </w:pPr>
      <w:r>
        <w:t>Note: B&amp;B used a 30 day window to assess returns</w:t>
      </w:r>
    </w:p>
    <w:p w14:paraId="1EC531FC" w14:textId="77777777" w:rsidR="00C4546C" w:rsidRPr="00925BC5" w:rsidRDefault="00C4546C" w:rsidP="007C383F">
      <w:pPr>
        <w:pStyle w:val="ListParagraph"/>
        <w:numPr>
          <w:ilvl w:val="0"/>
          <w:numId w:val="34"/>
        </w:numPr>
        <w:tabs>
          <w:tab w:val="left" w:pos="3060"/>
        </w:tabs>
        <w:rPr>
          <w:u w:val="single"/>
        </w:rPr>
      </w:pPr>
      <w:r w:rsidRPr="00925BC5">
        <w:rPr>
          <w:u w:val="single"/>
        </w:rPr>
        <w:t>Task 3: BB repeated their abnormal returns calculation for a wide window, consisting of 11 months prior and 6 months after the announcement date</w:t>
      </w:r>
    </w:p>
    <w:p w14:paraId="0E1B4FCA" w14:textId="77777777" w:rsidR="00C4546C" w:rsidRDefault="00C4546C" w:rsidP="007C383F">
      <w:pPr>
        <w:pStyle w:val="ListParagraph"/>
        <w:numPr>
          <w:ilvl w:val="1"/>
          <w:numId w:val="34"/>
        </w:numPr>
        <w:tabs>
          <w:tab w:val="left" w:pos="3060"/>
        </w:tabs>
      </w:pPr>
      <w:r>
        <w:t>Results show that the market began to anticipate the GN or BN as much as a year early</w:t>
      </w:r>
    </w:p>
    <w:p w14:paraId="48D0B78C" w14:textId="77777777" w:rsidR="00C4546C" w:rsidRDefault="00C4546C" w:rsidP="007C383F">
      <w:pPr>
        <w:pStyle w:val="ListParagraph"/>
        <w:numPr>
          <w:ilvl w:val="0"/>
          <w:numId w:val="34"/>
        </w:numPr>
        <w:tabs>
          <w:tab w:val="left" w:pos="3060"/>
        </w:tabs>
      </w:pPr>
      <w:r>
        <w:t>Findings:</w:t>
      </w:r>
    </w:p>
    <w:p w14:paraId="0A1E546C" w14:textId="77777777" w:rsidR="00C4546C" w:rsidRDefault="00C4546C" w:rsidP="007C383F">
      <w:pPr>
        <w:pStyle w:val="ListParagraph"/>
        <w:numPr>
          <w:ilvl w:val="1"/>
          <w:numId w:val="34"/>
        </w:numPr>
        <w:tabs>
          <w:tab w:val="left" w:pos="3060"/>
        </w:tabs>
      </w:pPr>
      <w:r w:rsidRPr="00C4546C">
        <w:rPr>
          <w:b/>
        </w:rPr>
        <w:t>1. Narrow Window Studies</w:t>
      </w:r>
      <w:r>
        <w:t xml:space="preserve">: </w:t>
      </w:r>
    </w:p>
    <w:p w14:paraId="48996F8D" w14:textId="77777777" w:rsidR="00C4546C" w:rsidRDefault="00C4546C" w:rsidP="007C383F">
      <w:pPr>
        <w:pStyle w:val="ListParagraph"/>
        <w:numPr>
          <w:ilvl w:val="2"/>
          <w:numId w:val="34"/>
        </w:numPr>
        <w:tabs>
          <w:tab w:val="left" w:pos="3060"/>
        </w:tabs>
      </w:pPr>
      <w:r>
        <w:t xml:space="preserve">If a security market reaction to accounting information is observed during a narrow window surrounding an earnings announcement, it can be argued that the accounting information is the </w:t>
      </w:r>
      <w:r w:rsidRPr="00C4546C">
        <w:rPr>
          <w:i/>
          <w:u w:val="single"/>
        </w:rPr>
        <w:t>cause</w:t>
      </w:r>
      <w:r>
        <w:t xml:space="preserve"> of the market reaction</w:t>
      </w:r>
    </w:p>
    <w:p w14:paraId="41595687" w14:textId="77777777" w:rsidR="00C4546C" w:rsidRDefault="00C4546C" w:rsidP="007C383F">
      <w:pPr>
        <w:pStyle w:val="ListParagraph"/>
        <w:numPr>
          <w:ilvl w:val="2"/>
          <w:numId w:val="34"/>
        </w:numPr>
        <w:tabs>
          <w:tab w:val="left" w:pos="3060"/>
        </w:tabs>
      </w:pPr>
      <w:r>
        <w:t>The reason is that during a narrow window, there are relatively few firm specific events</w:t>
      </w:r>
      <w:proofErr w:type="gramStart"/>
      <w:r>
        <w:t>,  and</w:t>
      </w:r>
      <w:proofErr w:type="gramEnd"/>
      <w:r>
        <w:t xml:space="preserve"> events affecting individual firms don’t matter b/c these firms can be removed from the sample</w:t>
      </w:r>
    </w:p>
    <w:p w14:paraId="1B595EE0" w14:textId="77777777" w:rsidR="00C4546C" w:rsidRPr="00925BC5" w:rsidRDefault="00C4546C" w:rsidP="007C383F">
      <w:pPr>
        <w:pStyle w:val="ListParagraph"/>
        <w:numPr>
          <w:ilvl w:val="1"/>
          <w:numId w:val="34"/>
        </w:numPr>
        <w:tabs>
          <w:tab w:val="left" w:pos="3060"/>
        </w:tabs>
        <w:rPr>
          <w:b/>
        </w:rPr>
      </w:pPr>
      <w:r w:rsidRPr="00925BC5">
        <w:rPr>
          <w:b/>
        </w:rPr>
        <w:t>2. Wide Window Studies:</w:t>
      </w:r>
    </w:p>
    <w:p w14:paraId="4E996515" w14:textId="77777777" w:rsidR="00C4546C" w:rsidRDefault="00590EFA" w:rsidP="007C383F">
      <w:pPr>
        <w:pStyle w:val="ListParagraph"/>
        <w:numPr>
          <w:ilvl w:val="2"/>
          <w:numId w:val="34"/>
        </w:numPr>
        <w:tabs>
          <w:tab w:val="left" w:pos="3060"/>
        </w:tabs>
      </w:pPr>
      <w:r>
        <w:t>As the market learns about a host of new information affecting the firm (over time), share price would begin to rise or fall</w:t>
      </w:r>
    </w:p>
    <w:p w14:paraId="6DC7A8D3" w14:textId="77777777" w:rsidR="00590EFA" w:rsidRDefault="00590EFA" w:rsidP="007C383F">
      <w:pPr>
        <w:pStyle w:val="ListParagraph"/>
        <w:numPr>
          <w:ilvl w:val="2"/>
          <w:numId w:val="34"/>
        </w:numPr>
        <w:tabs>
          <w:tab w:val="left" w:pos="3060"/>
        </w:tabs>
      </w:pPr>
      <w:r>
        <w:t>This reflects the partly informative nature of security prices since, in an efficient market, security prices reflect ALL available information – not just accounting information</w:t>
      </w:r>
    </w:p>
    <w:p w14:paraId="1FA48A76" w14:textId="77777777" w:rsidR="00590EFA" w:rsidRDefault="00590EFA" w:rsidP="007C383F">
      <w:pPr>
        <w:pStyle w:val="ListParagraph"/>
        <w:numPr>
          <w:ilvl w:val="2"/>
          <w:numId w:val="34"/>
        </w:numPr>
        <w:tabs>
          <w:tab w:val="left" w:pos="3060"/>
        </w:tabs>
      </w:pPr>
      <w:r>
        <w:t>Firms that are doing well should have much of their share price anticipated even before the good news is released</w:t>
      </w:r>
    </w:p>
    <w:p w14:paraId="06608240" w14:textId="77777777" w:rsidR="00590EFA" w:rsidRDefault="00590EFA" w:rsidP="007C383F">
      <w:pPr>
        <w:pStyle w:val="ListParagraph"/>
        <w:numPr>
          <w:ilvl w:val="0"/>
          <w:numId w:val="34"/>
        </w:numPr>
        <w:tabs>
          <w:tab w:val="left" w:pos="3060"/>
        </w:tabs>
      </w:pPr>
      <w:r>
        <w:lastRenderedPageBreak/>
        <w:t>BB estimated that as much as 85%-90% of the information in annual earnings was already built into share price by the time the annual earnings were announced</w:t>
      </w:r>
    </w:p>
    <w:p w14:paraId="3F717943" w14:textId="77777777" w:rsidR="00590EFA" w:rsidRDefault="00590EFA" w:rsidP="007C383F">
      <w:pPr>
        <w:pStyle w:val="ListParagraph"/>
        <w:numPr>
          <w:ilvl w:val="0"/>
          <w:numId w:val="34"/>
        </w:numPr>
        <w:tabs>
          <w:tab w:val="left" w:pos="3060"/>
        </w:tabs>
      </w:pPr>
      <w:r>
        <w:t>Results:</w:t>
      </w:r>
    </w:p>
    <w:p w14:paraId="7F45D907" w14:textId="77777777" w:rsidR="00590EFA" w:rsidRDefault="00590EFA" w:rsidP="007C383F">
      <w:pPr>
        <w:pStyle w:val="ListParagraph"/>
        <w:numPr>
          <w:ilvl w:val="1"/>
          <w:numId w:val="34"/>
        </w:numPr>
        <w:tabs>
          <w:tab w:val="left" w:pos="3060"/>
        </w:tabs>
      </w:pPr>
      <w:r>
        <w:t>It cannot be claimed that reported net income caused the abnormal returns during the 11 months leading up to month 0</w:t>
      </w:r>
    </w:p>
    <w:p w14:paraId="35A3CBA4" w14:textId="77777777" w:rsidR="00590EFA" w:rsidRDefault="00590EFA" w:rsidP="007C383F">
      <w:pPr>
        <w:pStyle w:val="ListParagraph"/>
        <w:numPr>
          <w:ilvl w:val="1"/>
          <w:numId w:val="34"/>
        </w:numPr>
        <w:tabs>
          <w:tab w:val="left" w:pos="3060"/>
        </w:tabs>
      </w:pPr>
      <w:r>
        <w:t xml:space="preserve">The most that can be argued is that net income and returns are </w:t>
      </w:r>
      <w:r w:rsidRPr="00590EFA">
        <w:rPr>
          <w:i/>
          <w:u w:val="single"/>
        </w:rPr>
        <w:t>associated</w:t>
      </w:r>
    </w:p>
    <w:p w14:paraId="67C83435" w14:textId="77777777" w:rsidR="00590EFA" w:rsidRDefault="00590EFA" w:rsidP="007C383F">
      <w:pPr>
        <w:pStyle w:val="ListParagraph"/>
        <w:numPr>
          <w:ilvl w:val="1"/>
          <w:numId w:val="34"/>
        </w:numPr>
        <w:tabs>
          <w:tab w:val="left" w:pos="3060"/>
        </w:tabs>
      </w:pPr>
      <w:r>
        <w:t>For wide windows, it is the economic performance of the firm that generates the association – prices lead earnings</w:t>
      </w:r>
    </w:p>
    <w:p w14:paraId="0687C919" w14:textId="77777777" w:rsidR="003925E3" w:rsidRDefault="003925E3" w:rsidP="007C383F">
      <w:pPr>
        <w:pStyle w:val="ListParagraph"/>
        <w:numPr>
          <w:ilvl w:val="1"/>
          <w:numId w:val="34"/>
        </w:numPr>
        <w:tabs>
          <w:tab w:val="left" w:pos="3060"/>
        </w:tabs>
      </w:pPr>
      <w:r>
        <w:t xml:space="preserve">Note: the abnormal securities market returns identified by BB were </w:t>
      </w:r>
      <w:r w:rsidRPr="003925E3">
        <w:rPr>
          <w:i/>
          <w:u w:val="single"/>
        </w:rPr>
        <w:t>averages</w:t>
      </w:r>
      <w:r>
        <w:t xml:space="preserve"> – they showed that on average their GN firms enjoyed positive abnormal returns and the BN firms showed negative abnormal returns</w:t>
      </w:r>
    </w:p>
    <w:p w14:paraId="223A7084" w14:textId="77777777" w:rsidR="003925E3" w:rsidRPr="0049462B" w:rsidRDefault="003925E3" w:rsidP="003925E3">
      <w:pPr>
        <w:tabs>
          <w:tab w:val="left" w:pos="3060"/>
        </w:tabs>
        <w:rPr>
          <w:b/>
        </w:rPr>
      </w:pPr>
      <w:r w:rsidRPr="0049462B">
        <w:rPr>
          <w:b/>
        </w:rPr>
        <w:t>5.4 Earnings Response Coefficients</w:t>
      </w:r>
    </w:p>
    <w:p w14:paraId="36FB46C7" w14:textId="77777777" w:rsidR="003925E3" w:rsidRDefault="003925E3" w:rsidP="007C383F">
      <w:pPr>
        <w:pStyle w:val="ListParagraph"/>
        <w:numPr>
          <w:ilvl w:val="0"/>
          <w:numId w:val="35"/>
        </w:numPr>
        <w:tabs>
          <w:tab w:val="left" w:pos="3060"/>
        </w:tabs>
      </w:pPr>
      <w:r>
        <w:t>Used to investigate if the security market response for some firms is greater than for others</w:t>
      </w:r>
    </w:p>
    <w:p w14:paraId="60D71D6D" w14:textId="77777777" w:rsidR="003925E3" w:rsidRDefault="003925E3" w:rsidP="007C383F">
      <w:pPr>
        <w:pStyle w:val="ListParagraph"/>
        <w:numPr>
          <w:ilvl w:val="0"/>
          <w:numId w:val="35"/>
        </w:numPr>
        <w:tabs>
          <w:tab w:val="left" w:pos="3060"/>
        </w:tabs>
      </w:pPr>
      <w:r>
        <w:t xml:space="preserve">An </w:t>
      </w:r>
      <w:r w:rsidRPr="003925E3">
        <w:rPr>
          <w:b/>
        </w:rPr>
        <w:t>earnings response coefficient</w:t>
      </w:r>
      <w:r>
        <w:t xml:space="preserve"> measures the </w:t>
      </w:r>
      <w:r w:rsidRPr="003925E3">
        <w:rPr>
          <w:u w:val="single"/>
        </w:rPr>
        <w:t>extent</w:t>
      </w:r>
      <w:r>
        <w:t xml:space="preserve"> of a security’s abnormal market return in response to the unexpected component of reported earnings of the firm issuing that security</w:t>
      </w:r>
    </w:p>
    <w:p w14:paraId="3790D655" w14:textId="77777777" w:rsidR="003925E3" w:rsidRPr="0049462B" w:rsidRDefault="003925E3" w:rsidP="003925E3">
      <w:pPr>
        <w:tabs>
          <w:tab w:val="left" w:pos="3060"/>
        </w:tabs>
        <w:rPr>
          <w:b/>
        </w:rPr>
      </w:pPr>
      <w:r w:rsidRPr="0049462B">
        <w:rPr>
          <w:b/>
        </w:rPr>
        <w:t>5.4.1 Reasons for Differential Market Response</w:t>
      </w:r>
    </w:p>
    <w:p w14:paraId="4A7B5EC2" w14:textId="77777777" w:rsidR="003925E3" w:rsidRDefault="003925E3" w:rsidP="003925E3">
      <w:pPr>
        <w:tabs>
          <w:tab w:val="left" w:pos="3060"/>
        </w:tabs>
      </w:pPr>
      <w:r w:rsidRPr="0049462B">
        <w:rPr>
          <w:highlight w:val="yellow"/>
        </w:rPr>
        <w:t>1. Beta</w:t>
      </w:r>
    </w:p>
    <w:p w14:paraId="79EF172F" w14:textId="77777777" w:rsidR="003925E3" w:rsidRDefault="003925E3" w:rsidP="007C383F">
      <w:pPr>
        <w:pStyle w:val="ListParagraph"/>
        <w:numPr>
          <w:ilvl w:val="0"/>
          <w:numId w:val="36"/>
        </w:numPr>
        <w:tabs>
          <w:tab w:val="left" w:pos="3060"/>
        </w:tabs>
      </w:pPr>
      <w:r>
        <w:t>The riskier is the sequence of a firm’s future expected returns, the lower will be its value to a risk-averse investor</w:t>
      </w:r>
    </w:p>
    <w:p w14:paraId="645956B1" w14:textId="77777777" w:rsidR="003925E3" w:rsidRDefault="003925E3" w:rsidP="007C383F">
      <w:pPr>
        <w:pStyle w:val="ListParagraph"/>
        <w:numPr>
          <w:ilvl w:val="0"/>
          <w:numId w:val="36"/>
        </w:numPr>
        <w:tabs>
          <w:tab w:val="left" w:pos="3060"/>
        </w:tabs>
      </w:pPr>
      <w:r>
        <w:t>If an investor receives GN about a company, but this company has risky future returns, and therefore the security has a higher beta, the higher beta will act as a brake on the investor’s demand for the GN security</w:t>
      </w:r>
    </w:p>
    <w:p w14:paraId="525F9E70" w14:textId="77777777" w:rsidR="003925E3" w:rsidRDefault="003925E3" w:rsidP="007C383F">
      <w:pPr>
        <w:pStyle w:val="ListParagraph"/>
        <w:numPr>
          <w:ilvl w:val="0"/>
          <w:numId w:val="36"/>
        </w:numPr>
        <w:tabs>
          <w:tab w:val="left" w:pos="3060"/>
        </w:tabs>
      </w:pPr>
      <w:r>
        <w:t>For GN securities with high beta, the demand will be lower</w:t>
      </w:r>
    </w:p>
    <w:p w14:paraId="394E1C3C" w14:textId="77777777" w:rsidR="003925E3" w:rsidRDefault="003925E3" w:rsidP="007C383F">
      <w:pPr>
        <w:pStyle w:val="ListParagraph"/>
        <w:numPr>
          <w:ilvl w:val="1"/>
          <w:numId w:val="36"/>
        </w:numPr>
        <w:tabs>
          <w:tab w:val="left" w:pos="3060"/>
        </w:tabs>
      </w:pPr>
      <w:r>
        <w:t>Resulting in lower increase in market price and share return in response to the GN</w:t>
      </w:r>
    </w:p>
    <w:p w14:paraId="049DF2B5" w14:textId="77777777" w:rsidR="0049462B" w:rsidRDefault="0049462B" w:rsidP="007C383F">
      <w:pPr>
        <w:pStyle w:val="ListParagraph"/>
        <w:numPr>
          <w:ilvl w:val="1"/>
          <w:numId w:val="36"/>
        </w:numPr>
        <w:tabs>
          <w:tab w:val="left" w:pos="3060"/>
        </w:tabs>
      </w:pPr>
      <w:r>
        <w:t>ERC will be lower</w:t>
      </w:r>
    </w:p>
    <w:p w14:paraId="3A74B31D" w14:textId="77777777" w:rsidR="0049462B" w:rsidRDefault="0049462B" w:rsidP="0049462B">
      <w:pPr>
        <w:tabs>
          <w:tab w:val="left" w:pos="3060"/>
        </w:tabs>
      </w:pPr>
      <w:r w:rsidRPr="0049462B">
        <w:rPr>
          <w:highlight w:val="yellow"/>
        </w:rPr>
        <w:t xml:space="preserve">2. Capital </w:t>
      </w:r>
      <w:proofErr w:type="gramStart"/>
      <w:r w:rsidRPr="0049462B">
        <w:rPr>
          <w:highlight w:val="yellow"/>
        </w:rPr>
        <w:t>Structure</w:t>
      </w:r>
      <w:proofErr w:type="gramEnd"/>
    </w:p>
    <w:p w14:paraId="2A084391" w14:textId="77777777" w:rsidR="0049462B" w:rsidRDefault="0049462B" w:rsidP="007C383F">
      <w:pPr>
        <w:pStyle w:val="ListParagraph"/>
        <w:numPr>
          <w:ilvl w:val="0"/>
          <w:numId w:val="37"/>
        </w:numPr>
        <w:tabs>
          <w:tab w:val="left" w:pos="3060"/>
        </w:tabs>
      </w:pPr>
      <w:r>
        <w:t>For highly levered firms when there is an increase in earnings, investors know that a good share of these earnings will go to debt-holders and not be distributed in the form of dividends</w:t>
      </w:r>
    </w:p>
    <w:p w14:paraId="1A14D7F6" w14:textId="77777777" w:rsidR="00AC10F6" w:rsidRDefault="0049462B" w:rsidP="007C383F">
      <w:pPr>
        <w:pStyle w:val="ListParagraph"/>
        <w:numPr>
          <w:ilvl w:val="0"/>
          <w:numId w:val="37"/>
        </w:numPr>
        <w:tabs>
          <w:tab w:val="left" w:pos="3060"/>
        </w:tabs>
      </w:pPr>
      <w:r>
        <w:t>For this reason, the ERC of a highly-levered firm (high D/E ratio) will be lower when they report GN</w:t>
      </w:r>
    </w:p>
    <w:p w14:paraId="2CADBA61" w14:textId="77777777" w:rsidR="0049462B" w:rsidRDefault="0049462B" w:rsidP="0049462B">
      <w:pPr>
        <w:tabs>
          <w:tab w:val="left" w:pos="3060"/>
        </w:tabs>
      </w:pPr>
      <w:r w:rsidRPr="00BA79C6">
        <w:rPr>
          <w:highlight w:val="yellow"/>
        </w:rPr>
        <w:t>3. Earnings Quality</w:t>
      </w:r>
    </w:p>
    <w:tbl>
      <w:tblPr>
        <w:tblStyle w:val="TableGrid"/>
        <w:tblW w:w="0" w:type="auto"/>
        <w:tblLook w:val="04A0" w:firstRow="1" w:lastRow="0" w:firstColumn="1" w:lastColumn="0" w:noHBand="0" w:noVBand="1"/>
      </w:tblPr>
      <w:tblGrid>
        <w:gridCol w:w="2394"/>
        <w:gridCol w:w="2394"/>
        <w:gridCol w:w="2394"/>
        <w:gridCol w:w="2394"/>
      </w:tblGrid>
      <w:tr w:rsidR="0049462B" w14:paraId="5159EE4E" w14:textId="77777777" w:rsidTr="008667DE">
        <w:tc>
          <w:tcPr>
            <w:tcW w:w="2394" w:type="dxa"/>
            <w:vMerge w:val="restart"/>
          </w:tcPr>
          <w:p w14:paraId="1FD3F60E" w14:textId="77777777" w:rsidR="0049462B" w:rsidRDefault="0049462B" w:rsidP="008667DE">
            <w:pPr>
              <w:rPr>
                <w:rFonts w:eastAsiaTheme="minorEastAsia"/>
              </w:rPr>
            </w:pPr>
          </w:p>
          <w:p w14:paraId="21933042" w14:textId="77777777" w:rsidR="0049462B" w:rsidRDefault="0049462B" w:rsidP="008667DE">
            <w:pPr>
              <w:rPr>
                <w:rFonts w:eastAsiaTheme="minorEastAsia"/>
              </w:rPr>
            </w:pPr>
            <w:r>
              <w:rPr>
                <w:rFonts w:eastAsiaTheme="minorEastAsia"/>
              </w:rPr>
              <w:t>State</w:t>
            </w:r>
          </w:p>
        </w:tc>
        <w:tc>
          <w:tcPr>
            <w:tcW w:w="2394" w:type="dxa"/>
          </w:tcPr>
          <w:p w14:paraId="26AF1E28" w14:textId="77777777" w:rsidR="0049462B" w:rsidRDefault="0049462B" w:rsidP="008667DE">
            <w:pPr>
              <w:rPr>
                <w:rFonts w:eastAsiaTheme="minorEastAsia"/>
              </w:rPr>
            </w:pPr>
          </w:p>
        </w:tc>
        <w:tc>
          <w:tcPr>
            <w:tcW w:w="2394" w:type="dxa"/>
          </w:tcPr>
          <w:p w14:paraId="2724B7A1" w14:textId="77777777" w:rsidR="0049462B" w:rsidRDefault="000679A8" w:rsidP="008667DE">
            <w:pPr>
              <w:rPr>
                <w:rFonts w:eastAsiaTheme="minorEastAsia"/>
              </w:rPr>
            </w:pPr>
            <w:r>
              <w:rPr>
                <w:rFonts w:eastAsiaTheme="minorEastAsia"/>
                <w:noProof/>
                <w:lang w:eastAsia="en-CA"/>
              </w:rPr>
              <w:pict w14:anchorId="689D0E5E">
                <v:oval id="_x0000_s1109" style="position:absolute;margin-left:-4.65pt;margin-top:11.6pt;width:28.5pt;height:17.25pt;z-index:251732992;mso-position-horizontal-relative:text;mso-position-vertical-relative:text" filled="f" strokecolor="red"/>
              </w:pict>
            </w:r>
            <w:r w:rsidR="0049462B">
              <w:rPr>
                <w:rFonts w:eastAsiaTheme="minorEastAsia"/>
              </w:rPr>
              <w:t>Good News</w:t>
            </w:r>
          </w:p>
        </w:tc>
        <w:tc>
          <w:tcPr>
            <w:tcW w:w="2394" w:type="dxa"/>
          </w:tcPr>
          <w:p w14:paraId="46A55FD3" w14:textId="77777777" w:rsidR="0049462B" w:rsidRDefault="0049462B" w:rsidP="008667DE">
            <w:pPr>
              <w:rPr>
                <w:rFonts w:eastAsiaTheme="minorEastAsia"/>
              </w:rPr>
            </w:pPr>
            <w:r>
              <w:rPr>
                <w:rFonts w:eastAsiaTheme="minorEastAsia"/>
              </w:rPr>
              <w:t>Bad News</w:t>
            </w:r>
          </w:p>
        </w:tc>
      </w:tr>
      <w:tr w:rsidR="0049462B" w14:paraId="6D25A949" w14:textId="77777777" w:rsidTr="008667DE">
        <w:tc>
          <w:tcPr>
            <w:tcW w:w="2394" w:type="dxa"/>
            <w:vMerge/>
          </w:tcPr>
          <w:p w14:paraId="0217F936" w14:textId="77777777" w:rsidR="0049462B" w:rsidRDefault="0049462B" w:rsidP="008667DE">
            <w:pPr>
              <w:rPr>
                <w:rFonts w:eastAsiaTheme="minorEastAsia"/>
              </w:rPr>
            </w:pPr>
          </w:p>
        </w:tc>
        <w:tc>
          <w:tcPr>
            <w:tcW w:w="2394" w:type="dxa"/>
          </w:tcPr>
          <w:p w14:paraId="6CC03C0B" w14:textId="77777777" w:rsidR="0049462B" w:rsidRDefault="0049462B" w:rsidP="008667DE">
            <w:pPr>
              <w:rPr>
                <w:rFonts w:eastAsiaTheme="minorEastAsia"/>
              </w:rPr>
            </w:pPr>
            <w:r>
              <w:rPr>
                <w:rFonts w:eastAsiaTheme="minorEastAsia"/>
              </w:rPr>
              <w:t>High Performance (0.30)</w:t>
            </w:r>
          </w:p>
        </w:tc>
        <w:tc>
          <w:tcPr>
            <w:tcW w:w="2394" w:type="dxa"/>
          </w:tcPr>
          <w:p w14:paraId="25CC7161" w14:textId="77777777" w:rsidR="0049462B" w:rsidRDefault="000679A8" w:rsidP="008667DE">
            <w:pPr>
              <w:rPr>
                <w:rFonts w:eastAsiaTheme="minorEastAsia"/>
              </w:rPr>
            </w:pPr>
            <w:r>
              <w:rPr>
                <w:rFonts w:eastAsiaTheme="minorEastAsia"/>
                <w:noProof/>
                <w:lang w:eastAsia="en-CA"/>
              </w:rPr>
              <w:pict w14:anchorId="6C3D1904">
                <v:shape id="_x0000_s1111" type="#_x0000_t32" style="position:absolute;margin-left:18.6pt;margin-top:14.95pt;width:189.75pt;height:57.75pt;z-index:251735040;mso-position-horizontal-relative:text;mso-position-vertical-relative:text" o:connectortype="straight" strokecolor="red">
                  <v:stroke endarrow="block"/>
                </v:shape>
              </w:pict>
            </w:r>
            <w:r>
              <w:rPr>
                <w:rFonts w:eastAsiaTheme="minorEastAsia"/>
                <w:noProof/>
                <w:lang w:eastAsia="en-CA"/>
              </w:rPr>
              <w:pict w14:anchorId="7EF5ABBB">
                <v:oval id="_x0000_s1110" style="position:absolute;margin-left:113.1pt;margin-top:23.95pt;width:32.25pt;height:16.5pt;z-index:251734016;mso-position-horizontal-relative:text;mso-position-vertical-relative:text" filled="f" strokecolor="red"/>
              </w:pict>
            </w:r>
            <w:r w:rsidR="0049462B">
              <w:rPr>
                <w:rFonts w:eastAsiaTheme="minorEastAsia"/>
              </w:rPr>
              <w:t>0.80</w:t>
            </w:r>
          </w:p>
        </w:tc>
        <w:tc>
          <w:tcPr>
            <w:tcW w:w="2394" w:type="dxa"/>
          </w:tcPr>
          <w:p w14:paraId="2F2658B3" w14:textId="77777777" w:rsidR="0049462B" w:rsidRDefault="0049462B" w:rsidP="008667DE">
            <w:pPr>
              <w:rPr>
                <w:rFonts w:eastAsiaTheme="minorEastAsia"/>
              </w:rPr>
            </w:pPr>
            <w:r>
              <w:rPr>
                <w:rFonts w:eastAsiaTheme="minorEastAsia"/>
              </w:rPr>
              <w:t>0.20</w:t>
            </w:r>
          </w:p>
        </w:tc>
      </w:tr>
      <w:tr w:rsidR="0049462B" w14:paraId="5E368247" w14:textId="77777777" w:rsidTr="008667DE">
        <w:tc>
          <w:tcPr>
            <w:tcW w:w="2394" w:type="dxa"/>
            <w:vMerge/>
          </w:tcPr>
          <w:p w14:paraId="58DC42B0" w14:textId="77777777" w:rsidR="0049462B" w:rsidRDefault="0049462B" w:rsidP="008667DE">
            <w:pPr>
              <w:rPr>
                <w:rFonts w:eastAsiaTheme="minorEastAsia"/>
              </w:rPr>
            </w:pPr>
          </w:p>
        </w:tc>
        <w:tc>
          <w:tcPr>
            <w:tcW w:w="2394" w:type="dxa"/>
          </w:tcPr>
          <w:p w14:paraId="14F74CCE" w14:textId="77777777" w:rsidR="0049462B" w:rsidRDefault="0049462B" w:rsidP="008667DE">
            <w:pPr>
              <w:rPr>
                <w:rFonts w:eastAsiaTheme="minorEastAsia"/>
              </w:rPr>
            </w:pPr>
            <w:r>
              <w:rPr>
                <w:rFonts w:eastAsiaTheme="minorEastAsia"/>
              </w:rPr>
              <w:t>Low Performance</w:t>
            </w:r>
          </w:p>
          <w:p w14:paraId="6E4A3FC4" w14:textId="77777777" w:rsidR="0049462B" w:rsidRDefault="0049462B" w:rsidP="008667DE">
            <w:pPr>
              <w:rPr>
                <w:rFonts w:eastAsiaTheme="minorEastAsia"/>
              </w:rPr>
            </w:pPr>
            <w:r>
              <w:rPr>
                <w:rFonts w:eastAsiaTheme="minorEastAsia"/>
              </w:rPr>
              <w:t xml:space="preserve"> (0.70)</w:t>
            </w:r>
          </w:p>
        </w:tc>
        <w:tc>
          <w:tcPr>
            <w:tcW w:w="2394" w:type="dxa"/>
          </w:tcPr>
          <w:p w14:paraId="317D469A" w14:textId="77777777" w:rsidR="0049462B" w:rsidRDefault="0049462B" w:rsidP="008667DE">
            <w:pPr>
              <w:rPr>
                <w:rFonts w:eastAsiaTheme="minorEastAsia"/>
              </w:rPr>
            </w:pPr>
            <w:r>
              <w:rPr>
                <w:rFonts w:eastAsiaTheme="minorEastAsia"/>
              </w:rPr>
              <w:t>0.10</w:t>
            </w:r>
          </w:p>
        </w:tc>
        <w:tc>
          <w:tcPr>
            <w:tcW w:w="2394" w:type="dxa"/>
          </w:tcPr>
          <w:p w14:paraId="2E0A5A4A" w14:textId="77777777" w:rsidR="0049462B" w:rsidRDefault="000679A8" w:rsidP="008667DE">
            <w:pPr>
              <w:rPr>
                <w:rFonts w:eastAsiaTheme="minorEastAsia"/>
              </w:rPr>
            </w:pPr>
            <w:r>
              <w:rPr>
                <w:rFonts w:eastAsiaTheme="minorEastAsia"/>
                <w:noProof/>
                <w:lang w:eastAsia="en-CA"/>
              </w:rPr>
              <w:pict w14:anchorId="31CA19BF">
                <v:shape id="_x0000_s1112" type="#_x0000_t32" style="position:absolute;margin-left:19.65pt;margin-top:13.05pt;width:65.25pt;height:32.25pt;z-index:251736064;mso-position-horizontal-relative:text;mso-position-vertical-relative:text" o:connectortype="straight" strokecolor="red"/>
              </w:pict>
            </w:r>
            <w:r w:rsidR="0049462B">
              <w:rPr>
                <w:rFonts w:eastAsiaTheme="minorEastAsia"/>
              </w:rPr>
              <w:t>0.90</w:t>
            </w:r>
          </w:p>
        </w:tc>
      </w:tr>
    </w:tbl>
    <w:p w14:paraId="6C30BCE0" w14:textId="77777777" w:rsidR="0049462B" w:rsidRDefault="000679A8" w:rsidP="0049462B">
      <w:pPr>
        <w:tabs>
          <w:tab w:val="left" w:pos="3060"/>
        </w:tabs>
      </w:pPr>
      <w:r>
        <w:rPr>
          <w:noProof/>
          <w:lang w:eastAsia="en-CA"/>
        </w:rPr>
        <w:pict w14:anchorId="314A951F">
          <v:shape id="_x0000_s1125" type="#_x0000_t202" style="position:absolute;margin-left:447.75pt;margin-top:9.1pt;width:71.25pt;height:29.25pt;z-index:251737088;mso-position-horizontal-relative:text;mso-position-vertical-relative:text;mso-width-relative:margin;mso-height-relative:margin" stroked="f">
            <v:textbox>
              <w:txbxContent>
                <w:p w14:paraId="5629171C" w14:textId="77777777" w:rsidR="005C38F6" w:rsidRPr="008A3E72" w:rsidRDefault="005C38F6" w:rsidP="0049462B">
                  <w:pPr>
                    <w:rPr>
                      <w:color w:val="FF0000"/>
                      <w:sz w:val="18"/>
                      <w:szCs w:val="18"/>
                    </w:rPr>
                  </w:pPr>
                  <w:r w:rsidRPr="008A3E72">
                    <w:rPr>
                      <w:color w:val="FF0000"/>
                      <w:sz w:val="18"/>
                      <w:szCs w:val="18"/>
                    </w:rPr>
                    <w:t xml:space="preserve">Main Diagonal Probabilities </w:t>
                  </w:r>
                </w:p>
              </w:txbxContent>
            </v:textbox>
          </v:shape>
        </w:pict>
      </w:r>
    </w:p>
    <w:p w14:paraId="24CACA79" w14:textId="77777777" w:rsidR="0049462B" w:rsidRDefault="0049462B" w:rsidP="007C383F">
      <w:pPr>
        <w:pStyle w:val="ListParagraph"/>
        <w:numPr>
          <w:ilvl w:val="0"/>
          <w:numId w:val="38"/>
        </w:numPr>
        <w:tabs>
          <w:tab w:val="left" w:pos="3060"/>
        </w:tabs>
      </w:pPr>
      <w:r>
        <w:lastRenderedPageBreak/>
        <w:t>The higher the main diagonal probabilities, the higher the earnings quality</w:t>
      </w:r>
    </w:p>
    <w:p w14:paraId="12C6496B" w14:textId="77777777" w:rsidR="0049462B" w:rsidRDefault="0049462B" w:rsidP="007C383F">
      <w:pPr>
        <w:pStyle w:val="ListParagraph"/>
        <w:numPr>
          <w:ilvl w:val="0"/>
          <w:numId w:val="38"/>
        </w:numPr>
        <w:tabs>
          <w:tab w:val="left" w:pos="3060"/>
        </w:tabs>
      </w:pPr>
      <w:r>
        <w:t>The higher the earnings quality, the higher we can expect ERC to be, since investors are bet</w:t>
      </w:r>
      <w:r w:rsidR="003C04A6">
        <w:t>t</w:t>
      </w:r>
      <w:r>
        <w:t>er able to infer future firm performance from current performance</w:t>
      </w:r>
    </w:p>
    <w:p w14:paraId="5BFB4FF5" w14:textId="77777777" w:rsidR="003C04A6" w:rsidRDefault="003C04A6" w:rsidP="007C383F">
      <w:pPr>
        <w:pStyle w:val="ListParagraph"/>
        <w:numPr>
          <w:ilvl w:val="0"/>
          <w:numId w:val="38"/>
        </w:numPr>
        <w:tabs>
          <w:tab w:val="left" w:pos="3060"/>
        </w:tabs>
      </w:pPr>
      <w:r>
        <w:t xml:space="preserve">Since measuring earnings quality is different, an indirect approach is to look at financial analysts’ </w:t>
      </w:r>
      <w:proofErr w:type="gramStart"/>
      <w:r>
        <w:t>earnings  forecast</w:t>
      </w:r>
      <w:proofErr w:type="gramEnd"/>
      <w:r>
        <w:t xml:space="preserve"> revisions after the current earnings announcement</w:t>
      </w:r>
    </w:p>
    <w:p w14:paraId="53374BC9" w14:textId="77777777" w:rsidR="003C04A6" w:rsidRDefault="003C04A6" w:rsidP="007C383F">
      <w:pPr>
        <w:pStyle w:val="ListParagraph"/>
        <w:numPr>
          <w:ilvl w:val="0"/>
          <w:numId w:val="38"/>
        </w:numPr>
        <w:tabs>
          <w:tab w:val="left" w:pos="3060"/>
        </w:tabs>
      </w:pPr>
      <w:r>
        <w:t>Other dimensions of earnings quality are available, including earnings persistence</w:t>
      </w:r>
    </w:p>
    <w:p w14:paraId="0B633970" w14:textId="77777777" w:rsidR="003C04A6" w:rsidRDefault="003C04A6" w:rsidP="007C383F">
      <w:pPr>
        <w:pStyle w:val="ListParagraph"/>
        <w:numPr>
          <w:ilvl w:val="0"/>
          <w:numId w:val="38"/>
        </w:numPr>
        <w:tabs>
          <w:tab w:val="left" w:pos="3060"/>
        </w:tabs>
      </w:pPr>
      <w:r>
        <w:t>Earnings persistence is a measure of whether or not the good/bad news is expected to persist in the future</w:t>
      </w:r>
    </w:p>
    <w:p w14:paraId="789F21E0" w14:textId="77777777" w:rsidR="003C04A6" w:rsidRDefault="003C04A6" w:rsidP="007C383F">
      <w:pPr>
        <w:pStyle w:val="ListParagraph"/>
        <w:numPr>
          <w:ilvl w:val="1"/>
          <w:numId w:val="38"/>
        </w:numPr>
        <w:tabs>
          <w:tab w:val="left" w:pos="3060"/>
        </w:tabs>
      </w:pPr>
      <w:r>
        <w:t>We would expect that ERC be higher the more the GN or BN in current earnings is expected to persist in the future</w:t>
      </w:r>
    </w:p>
    <w:p w14:paraId="0BE38451" w14:textId="77777777" w:rsidR="003C04A6" w:rsidRDefault="003C04A6" w:rsidP="007C383F">
      <w:pPr>
        <w:pStyle w:val="ListParagraph"/>
        <w:numPr>
          <w:ilvl w:val="1"/>
          <w:numId w:val="38"/>
        </w:numPr>
        <w:tabs>
          <w:tab w:val="left" w:pos="3060"/>
        </w:tabs>
      </w:pPr>
      <w:r>
        <w:t>GN due to cost-cutting by management would generate a higher ERC than GN due to a gain on the sale of an asset – this is because the gain is not something that is expected to persist in the future</w:t>
      </w:r>
    </w:p>
    <w:p w14:paraId="3257C74E" w14:textId="77777777" w:rsidR="00BA79C6" w:rsidRPr="00BA79C6" w:rsidRDefault="00BA79C6" w:rsidP="007C383F">
      <w:pPr>
        <w:pStyle w:val="ListParagraph"/>
        <w:numPr>
          <w:ilvl w:val="0"/>
          <w:numId w:val="38"/>
        </w:numPr>
        <w:tabs>
          <w:tab w:val="left" w:pos="3060"/>
        </w:tabs>
        <w:rPr>
          <w:highlight w:val="cyan"/>
        </w:rPr>
      </w:pPr>
      <w:proofErr w:type="spellStart"/>
      <w:r w:rsidRPr="00BA79C6">
        <w:rPr>
          <w:highlight w:val="cyan"/>
        </w:rPr>
        <w:t>Ramakrishnan</w:t>
      </w:r>
      <w:proofErr w:type="spellEnd"/>
      <w:r w:rsidRPr="00BA79C6">
        <w:rPr>
          <w:highlight w:val="cyan"/>
        </w:rPr>
        <w:t xml:space="preserve"> and Thomas: 3 Types of Earnings Events</w:t>
      </w:r>
    </w:p>
    <w:p w14:paraId="6C85D7CC" w14:textId="77777777" w:rsidR="00BA79C6" w:rsidRPr="00BA79C6" w:rsidRDefault="00BA79C6" w:rsidP="007C383F">
      <w:pPr>
        <w:pStyle w:val="ListParagraph"/>
        <w:numPr>
          <w:ilvl w:val="1"/>
          <w:numId w:val="38"/>
        </w:numPr>
        <w:tabs>
          <w:tab w:val="left" w:pos="3060"/>
        </w:tabs>
        <w:rPr>
          <w:b/>
        </w:rPr>
      </w:pPr>
      <w:r w:rsidRPr="00BA79C6">
        <w:rPr>
          <w:b/>
        </w:rPr>
        <w:t xml:space="preserve">1. Permanent, expected to persist indefinitely </w:t>
      </w:r>
    </w:p>
    <w:p w14:paraId="65B48C7E" w14:textId="77777777" w:rsidR="00BA79C6" w:rsidRDefault="00BA79C6" w:rsidP="007C383F">
      <w:pPr>
        <w:pStyle w:val="ListParagraph"/>
        <w:numPr>
          <w:ilvl w:val="2"/>
          <w:numId w:val="38"/>
        </w:numPr>
        <w:tabs>
          <w:tab w:val="left" w:pos="3060"/>
        </w:tabs>
      </w:pPr>
      <w:r>
        <w:t>ERC &gt; 1</w:t>
      </w:r>
    </w:p>
    <w:p w14:paraId="5A7EA074" w14:textId="77777777" w:rsidR="00BA79C6" w:rsidRDefault="00BA79C6" w:rsidP="007C383F">
      <w:pPr>
        <w:pStyle w:val="ListParagraph"/>
        <w:numPr>
          <w:ilvl w:val="2"/>
          <w:numId w:val="38"/>
        </w:numPr>
        <w:tabs>
          <w:tab w:val="left" w:pos="3060"/>
        </w:tabs>
      </w:pPr>
      <w:r>
        <w:t>Ex: a firm uses historical cost accounting, the increase in contribution margin this year was $100 and future income is expected to be realized in subsequent years</w:t>
      </w:r>
    </w:p>
    <w:p w14:paraId="46DE6472" w14:textId="77777777" w:rsidR="00EE5CB2" w:rsidRDefault="00EE5CB2" w:rsidP="007C383F">
      <w:pPr>
        <w:pStyle w:val="ListParagraph"/>
        <w:numPr>
          <w:ilvl w:val="3"/>
          <w:numId w:val="38"/>
        </w:numPr>
        <w:tabs>
          <w:tab w:val="left" w:pos="3060"/>
        </w:tabs>
      </w:pPr>
      <w:r>
        <w:t>Cost-cutting</w:t>
      </w:r>
    </w:p>
    <w:p w14:paraId="5CC04F3D" w14:textId="77777777" w:rsidR="00EE5CB2" w:rsidRDefault="00EE5CB2" w:rsidP="007C383F">
      <w:pPr>
        <w:pStyle w:val="ListParagraph"/>
        <w:numPr>
          <w:ilvl w:val="3"/>
          <w:numId w:val="38"/>
        </w:numPr>
        <w:tabs>
          <w:tab w:val="left" w:pos="3060"/>
        </w:tabs>
      </w:pPr>
      <w:r>
        <w:t>Expansion</w:t>
      </w:r>
    </w:p>
    <w:p w14:paraId="58ACD198" w14:textId="77777777" w:rsidR="00EE5CB2" w:rsidRDefault="00EE5CB2" w:rsidP="007C383F">
      <w:pPr>
        <w:pStyle w:val="ListParagraph"/>
        <w:numPr>
          <w:ilvl w:val="3"/>
          <w:numId w:val="38"/>
        </w:numPr>
        <w:tabs>
          <w:tab w:val="left" w:pos="3060"/>
        </w:tabs>
      </w:pPr>
      <w:r>
        <w:t>Improved sales</w:t>
      </w:r>
    </w:p>
    <w:p w14:paraId="78F18669" w14:textId="77777777" w:rsidR="00BA79C6" w:rsidRPr="00BA79C6" w:rsidRDefault="00BA79C6" w:rsidP="007C383F">
      <w:pPr>
        <w:pStyle w:val="ListParagraph"/>
        <w:numPr>
          <w:ilvl w:val="1"/>
          <w:numId w:val="38"/>
        </w:numPr>
        <w:tabs>
          <w:tab w:val="left" w:pos="3060"/>
        </w:tabs>
        <w:rPr>
          <w:b/>
        </w:rPr>
      </w:pPr>
      <w:r w:rsidRPr="00BA79C6">
        <w:rPr>
          <w:b/>
        </w:rPr>
        <w:t>2. Transitory, affecting earnings in the current year but not in future years</w:t>
      </w:r>
    </w:p>
    <w:p w14:paraId="64BE744F" w14:textId="77777777" w:rsidR="00BA79C6" w:rsidRDefault="00BA79C6" w:rsidP="007C383F">
      <w:pPr>
        <w:pStyle w:val="ListParagraph"/>
        <w:numPr>
          <w:ilvl w:val="2"/>
          <w:numId w:val="38"/>
        </w:numPr>
        <w:tabs>
          <w:tab w:val="left" w:pos="3060"/>
        </w:tabs>
      </w:pPr>
      <w:r>
        <w:t>ERC = 1</w:t>
      </w:r>
    </w:p>
    <w:p w14:paraId="7980F8CD" w14:textId="77777777" w:rsidR="00BA79C6" w:rsidRDefault="00BA79C6" w:rsidP="007C383F">
      <w:pPr>
        <w:pStyle w:val="ListParagraph"/>
        <w:numPr>
          <w:ilvl w:val="2"/>
          <w:numId w:val="38"/>
        </w:numPr>
        <w:tabs>
          <w:tab w:val="left" w:pos="3060"/>
        </w:tabs>
      </w:pPr>
      <w:r>
        <w:t xml:space="preserve">Ex:  a firm uses current value accounting and there was an increase in the fair value of the asset this year. The asset was written up $100. This was a one-time event. Other example could be selling a capital asset. </w:t>
      </w:r>
    </w:p>
    <w:p w14:paraId="63D5C536" w14:textId="77777777" w:rsidR="00BA79C6" w:rsidRPr="00BA79C6" w:rsidRDefault="00BA79C6" w:rsidP="007C383F">
      <w:pPr>
        <w:pStyle w:val="ListParagraph"/>
        <w:numPr>
          <w:ilvl w:val="1"/>
          <w:numId w:val="38"/>
        </w:numPr>
        <w:tabs>
          <w:tab w:val="left" w:pos="3060"/>
        </w:tabs>
        <w:rPr>
          <w:b/>
        </w:rPr>
      </w:pPr>
      <w:r w:rsidRPr="00BA79C6">
        <w:rPr>
          <w:b/>
        </w:rPr>
        <w:t>3. Price-Irrelevant, persistence of zero</w:t>
      </w:r>
    </w:p>
    <w:p w14:paraId="1AFB8275" w14:textId="77777777" w:rsidR="00BA79C6" w:rsidRDefault="00BA79C6" w:rsidP="007C383F">
      <w:pPr>
        <w:pStyle w:val="ListParagraph"/>
        <w:numPr>
          <w:ilvl w:val="2"/>
          <w:numId w:val="38"/>
        </w:numPr>
        <w:tabs>
          <w:tab w:val="left" w:pos="3060"/>
        </w:tabs>
      </w:pPr>
      <w:r>
        <w:t>ERC = 0</w:t>
      </w:r>
    </w:p>
    <w:p w14:paraId="3DC8942D" w14:textId="77777777" w:rsidR="00BA79C6" w:rsidRDefault="00BA79C6" w:rsidP="007C383F">
      <w:pPr>
        <w:pStyle w:val="ListParagraph"/>
        <w:numPr>
          <w:ilvl w:val="2"/>
          <w:numId w:val="38"/>
        </w:numPr>
        <w:tabs>
          <w:tab w:val="left" w:pos="3060"/>
        </w:tabs>
      </w:pPr>
      <w:r>
        <w:t xml:space="preserve">Ex: choice in accounting policy – firm writes off research costs, investors do not react negatively to the bad news </w:t>
      </w:r>
    </w:p>
    <w:p w14:paraId="52E95BBC" w14:textId="77777777" w:rsidR="00CE75AF" w:rsidRPr="00CE75AF" w:rsidRDefault="00CE75AF" w:rsidP="00CE75AF">
      <w:pPr>
        <w:tabs>
          <w:tab w:val="left" w:pos="3060"/>
        </w:tabs>
        <w:rPr>
          <w:b/>
        </w:rPr>
      </w:pPr>
      <w:r w:rsidRPr="00CE75AF">
        <w:rPr>
          <w:b/>
        </w:rPr>
        <w:t>II) Accruals Quality</w:t>
      </w:r>
    </w:p>
    <w:p w14:paraId="5D712FE2" w14:textId="77777777" w:rsidR="00CE75AF" w:rsidRDefault="00CE75AF" w:rsidP="007C383F">
      <w:pPr>
        <w:pStyle w:val="ListParagraph"/>
        <w:numPr>
          <w:ilvl w:val="0"/>
          <w:numId w:val="39"/>
        </w:numPr>
        <w:tabs>
          <w:tab w:val="left" w:pos="3060"/>
        </w:tabs>
      </w:pPr>
      <w:r>
        <w:t>Second dimension of earnings quality is accruals quality</w:t>
      </w:r>
    </w:p>
    <w:p w14:paraId="5A46E337" w14:textId="77777777" w:rsidR="00CE75AF" w:rsidRDefault="00CE75AF" w:rsidP="007C383F">
      <w:pPr>
        <w:pStyle w:val="ListParagraph"/>
        <w:numPr>
          <w:ilvl w:val="0"/>
          <w:numId w:val="39"/>
        </w:numPr>
        <w:tabs>
          <w:tab w:val="left" w:pos="3060"/>
        </w:tabs>
      </w:pPr>
      <w:r>
        <w:t>Net income = Cash flow from operations +/- Net Accruals</w:t>
      </w:r>
    </w:p>
    <w:p w14:paraId="6C87A752" w14:textId="77777777" w:rsidR="00CE75AF" w:rsidRDefault="00CE75AF" w:rsidP="007C383F">
      <w:pPr>
        <w:pStyle w:val="ListParagraph"/>
        <w:numPr>
          <w:ilvl w:val="1"/>
          <w:numId w:val="39"/>
        </w:numPr>
        <w:tabs>
          <w:tab w:val="left" w:pos="3060"/>
        </w:tabs>
      </w:pPr>
      <w:r>
        <w:t>Where net accruals can be (+/-), includes changes in non-cash working capital accounts such as receivables, allowance for doubtful accounts, inventories, accounts payable, amortization</w:t>
      </w:r>
    </w:p>
    <w:p w14:paraId="2B2AD5AC" w14:textId="77777777" w:rsidR="00CE75AF" w:rsidRDefault="00CE75AF" w:rsidP="007C383F">
      <w:pPr>
        <w:pStyle w:val="ListParagraph"/>
        <w:numPr>
          <w:ilvl w:val="0"/>
          <w:numId w:val="39"/>
        </w:numPr>
        <w:tabs>
          <w:tab w:val="left" w:pos="3060"/>
        </w:tabs>
      </w:pPr>
      <w:r>
        <w:t>Argument that accruals are of reasonably high quality – so if there are no mistakes in estimate, then high quality accruals = high quality earnings = high quality ERC</w:t>
      </w:r>
    </w:p>
    <w:p w14:paraId="2553FC15" w14:textId="77777777" w:rsidR="00CE75AF" w:rsidRDefault="00CE75AF" w:rsidP="007C383F">
      <w:pPr>
        <w:pStyle w:val="ListParagraph"/>
        <w:numPr>
          <w:ilvl w:val="0"/>
          <w:numId w:val="39"/>
        </w:numPr>
        <w:tabs>
          <w:tab w:val="left" w:pos="3060"/>
        </w:tabs>
      </w:pPr>
      <w:r>
        <w:t>When there is a change in estimate in accruals, this signifies low accruals quality and ERC is lower</w:t>
      </w:r>
    </w:p>
    <w:p w14:paraId="21FA67E1" w14:textId="77777777" w:rsidR="00CE75AF" w:rsidRDefault="00CE75AF" w:rsidP="00CE75AF">
      <w:pPr>
        <w:tabs>
          <w:tab w:val="left" w:pos="3060"/>
        </w:tabs>
      </w:pPr>
    </w:p>
    <w:p w14:paraId="1E6FE9B3" w14:textId="77777777" w:rsidR="00CE75AF" w:rsidRDefault="00CE75AF" w:rsidP="00CE75AF">
      <w:pPr>
        <w:tabs>
          <w:tab w:val="left" w:pos="3060"/>
        </w:tabs>
      </w:pPr>
      <w:r w:rsidRPr="009328AE">
        <w:rPr>
          <w:highlight w:val="yellow"/>
        </w:rPr>
        <w:lastRenderedPageBreak/>
        <w:t>4. Growth Opportunities</w:t>
      </w:r>
    </w:p>
    <w:p w14:paraId="46652C07" w14:textId="77777777" w:rsidR="00CE75AF" w:rsidRDefault="00CE75AF" w:rsidP="007C383F">
      <w:pPr>
        <w:pStyle w:val="ListParagraph"/>
        <w:numPr>
          <w:ilvl w:val="0"/>
          <w:numId w:val="40"/>
        </w:numPr>
        <w:tabs>
          <w:tab w:val="left" w:pos="3060"/>
        </w:tabs>
      </w:pPr>
      <w:r>
        <w:t>GN or BN in current earnings may suggest future growth prospects for the firm, and hence a higher ERC</w:t>
      </w:r>
    </w:p>
    <w:p w14:paraId="3256E4A2" w14:textId="77777777" w:rsidR="00CE75AF" w:rsidRDefault="00CE75AF" w:rsidP="007C383F">
      <w:pPr>
        <w:pStyle w:val="ListParagraph"/>
        <w:numPr>
          <w:ilvl w:val="0"/>
          <w:numId w:val="40"/>
        </w:numPr>
        <w:tabs>
          <w:tab w:val="left" w:pos="3060"/>
        </w:tabs>
      </w:pPr>
      <w:r>
        <w:t>If current net income reveals unexpectedly high profitability for some of the firm’s recent investment projects, this may indicate to the market that the firm will enjoy strong growth in the future</w:t>
      </w:r>
    </w:p>
    <w:p w14:paraId="4A8DD765" w14:textId="77777777" w:rsidR="00CE75AF" w:rsidRDefault="009328AE" w:rsidP="007C383F">
      <w:pPr>
        <w:pStyle w:val="ListParagraph"/>
        <w:numPr>
          <w:ilvl w:val="0"/>
          <w:numId w:val="40"/>
        </w:numPr>
        <w:tabs>
          <w:tab w:val="left" w:pos="3060"/>
        </w:tabs>
      </w:pPr>
      <w:r>
        <w:t>To the extent that good news in earnings suggests growth opportunities, the ERC will be high</w:t>
      </w:r>
    </w:p>
    <w:p w14:paraId="3E8D0E8A" w14:textId="77777777" w:rsidR="00AC10F6" w:rsidRDefault="00AC10F6" w:rsidP="007C383F">
      <w:pPr>
        <w:pStyle w:val="ListParagraph"/>
        <w:numPr>
          <w:ilvl w:val="0"/>
          <w:numId w:val="40"/>
        </w:numPr>
        <w:tabs>
          <w:tab w:val="left" w:pos="3060"/>
        </w:tabs>
      </w:pPr>
      <w:r>
        <w:t>More disclosure (i.e. of segment information) will help investors determine the profitable and or unprofitable operations</w:t>
      </w:r>
    </w:p>
    <w:p w14:paraId="44739D99" w14:textId="77777777" w:rsidR="009328AE" w:rsidRDefault="009328AE" w:rsidP="009328AE">
      <w:pPr>
        <w:tabs>
          <w:tab w:val="left" w:pos="3060"/>
        </w:tabs>
      </w:pPr>
      <w:r w:rsidRPr="009328AE">
        <w:rPr>
          <w:highlight w:val="yellow"/>
        </w:rPr>
        <w:t xml:space="preserve">5. The </w:t>
      </w:r>
      <w:proofErr w:type="spellStart"/>
      <w:r w:rsidRPr="009328AE">
        <w:rPr>
          <w:highlight w:val="yellow"/>
        </w:rPr>
        <w:t>Informativeness</w:t>
      </w:r>
      <w:proofErr w:type="spellEnd"/>
      <w:r w:rsidRPr="009328AE">
        <w:rPr>
          <w:highlight w:val="yellow"/>
        </w:rPr>
        <w:t xml:space="preserve"> of Price</w:t>
      </w:r>
    </w:p>
    <w:p w14:paraId="2271CBC7" w14:textId="77777777" w:rsidR="009328AE" w:rsidRDefault="009328AE" w:rsidP="007C383F">
      <w:pPr>
        <w:pStyle w:val="ListParagraph"/>
        <w:numPr>
          <w:ilvl w:val="0"/>
          <w:numId w:val="41"/>
        </w:numPr>
        <w:tabs>
          <w:tab w:val="left" w:pos="3060"/>
        </w:tabs>
      </w:pPr>
      <w:r>
        <w:t>The market price itself is partially informative about the future value of the firm</w:t>
      </w:r>
    </w:p>
    <w:p w14:paraId="02A358EE" w14:textId="77777777" w:rsidR="009328AE" w:rsidRDefault="009328AE" w:rsidP="007C383F">
      <w:pPr>
        <w:pStyle w:val="ListParagraph"/>
        <w:numPr>
          <w:ilvl w:val="0"/>
          <w:numId w:val="41"/>
        </w:numPr>
        <w:tabs>
          <w:tab w:val="left" w:pos="3060"/>
        </w:tabs>
      </w:pPr>
      <w:r>
        <w:t>This is because the market price aggregates all publically known information about the firm, much of which the account system recognizes with a lag – this is illustrated in the BB study</w:t>
      </w:r>
    </w:p>
    <w:p w14:paraId="4F974873" w14:textId="77777777" w:rsidR="009328AE" w:rsidRDefault="009328AE" w:rsidP="007C383F">
      <w:pPr>
        <w:pStyle w:val="ListParagraph"/>
        <w:numPr>
          <w:ilvl w:val="0"/>
          <w:numId w:val="41"/>
        </w:numPr>
        <w:tabs>
          <w:tab w:val="left" w:pos="3060"/>
        </w:tabs>
      </w:pPr>
      <w:r>
        <w:t>The more informative the price, the less will be the information content of current accounting earnings, hence the lower the ERC</w:t>
      </w:r>
    </w:p>
    <w:p w14:paraId="79C34123" w14:textId="77777777" w:rsidR="00AC10F6" w:rsidRDefault="00AC10F6" w:rsidP="007C383F">
      <w:pPr>
        <w:pStyle w:val="ListParagraph"/>
        <w:numPr>
          <w:ilvl w:val="0"/>
          <w:numId w:val="41"/>
        </w:numPr>
        <w:tabs>
          <w:tab w:val="left" w:pos="3060"/>
        </w:tabs>
      </w:pPr>
      <w:r>
        <w:t>Lower informative price implies that expanded disclosure would be more useful to investors</w:t>
      </w:r>
    </w:p>
    <w:p w14:paraId="52A6D8FE" w14:textId="77777777" w:rsidR="009328AE" w:rsidRPr="003C15E3" w:rsidRDefault="009328AE" w:rsidP="009328AE">
      <w:pPr>
        <w:tabs>
          <w:tab w:val="left" w:pos="3060"/>
        </w:tabs>
        <w:rPr>
          <w:b/>
        </w:rPr>
      </w:pPr>
      <w:r w:rsidRPr="003C15E3">
        <w:rPr>
          <w:b/>
        </w:rPr>
        <w:t>5.4.2 Implications of ERC Research</w:t>
      </w:r>
    </w:p>
    <w:p w14:paraId="65DF7D16" w14:textId="77777777" w:rsidR="009328AE" w:rsidRDefault="009328AE" w:rsidP="007C383F">
      <w:pPr>
        <w:pStyle w:val="ListParagraph"/>
        <w:numPr>
          <w:ilvl w:val="0"/>
          <w:numId w:val="42"/>
        </w:numPr>
        <w:tabs>
          <w:tab w:val="left" w:pos="3060"/>
        </w:tabs>
      </w:pPr>
      <w:r>
        <w:t>The reason accountants want to understand the market response is so that they can make improvements to the decision usefulness of financial statements</w:t>
      </w:r>
    </w:p>
    <w:p w14:paraId="49CE95A6" w14:textId="77777777" w:rsidR="009328AE" w:rsidRDefault="00AC10F6" w:rsidP="007C383F">
      <w:pPr>
        <w:pStyle w:val="ListParagraph"/>
        <w:numPr>
          <w:ilvl w:val="0"/>
          <w:numId w:val="42"/>
        </w:numPr>
        <w:tabs>
          <w:tab w:val="left" w:pos="3060"/>
        </w:tabs>
      </w:pPr>
      <w:r>
        <w:t>Improvements to decision usefulness can primarily come from increased disclosure in financial statements to provide investors with additional information to make informed decisions</w:t>
      </w:r>
    </w:p>
    <w:p w14:paraId="154FE749" w14:textId="77777777" w:rsidR="00AC10F6" w:rsidRPr="003C15E3" w:rsidRDefault="00AC10F6" w:rsidP="00AC10F6">
      <w:pPr>
        <w:tabs>
          <w:tab w:val="left" w:pos="3060"/>
        </w:tabs>
        <w:rPr>
          <w:b/>
        </w:rPr>
      </w:pPr>
      <w:r w:rsidRPr="003C15E3">
        <w:rPr>
          <w:b/>
        </w:rPr>
        <w:t>5.4.3 Measuring Investors’ Earnings Expectations</w:t>
      </w:r>
    </w:p>
    <w:p w14:paraId="3568972A" w14:textId="77777777" w:rsidR="00AC10F6" w:rsidRDefault="00AC10F6" w:rsidP="007C383F">
      <w:pPr>
        <w:pStyle w:val="ListParagraph"/>
        <w:numPr>
          <w:ilvl w:val="0"/>
          <w:numId w:val="43"/>
        </w:numPr>
        <w:tabs>
          <w:tab w:val="left" w:pos="3060"/>
        </w:tabs>
      </w:pPr>
      <w:r>
        <w:t>Researches must obtain a proxy for expected earnings, since the market will react only to that portion of the earnings announcement that they did not expect</w:t>
      </w:r>
    </w:p>
    <w:p w14:paraId="087BF037" w14:textId="77777777" w:rsidR="00AC10F6" w:rsidRDefault="00AC10F6" w:rsidP="007C383F">
      <w:pPr>
        <w:pStyle w:val="ListParagraph"/>
        <w:numPr>
          <w:ilvl w:val="0"/>
          <w:numId w:val="43"/>
        </w:numPr>
        <w:tabs>
          <w:tab w:val="left" w:pos="3060"/>
        </w:tabs>
      </w:pPr>
      <w:r>
        <w:t>Obtaining a reasonable estimate of earnings expectations is a crucial component of information approach research</w:t>
      </w:r>
    </w:p>
    <w:p w14:paraId="15BB2C2D" w14:textId="77777777" w:rsidR="00AC10F6" w:rsidRDefault="00AC10F6" w:rsidP="007C383F">
      <w:pPr>
        <w:pStyle w:val="ListParagraph"/>
        <w:numPr>
          <w:ilvl w:val="0"/>
          <w:numId w:val="43"/>
        </w:numPr>
        <w:tabs>
          <w:tab w:val="left" w:pos="3060"/>
        </w:tabs>
      </w:pPr>
      <w:r>
        <w:t>Under ideal conditions, expected earnings is simply accretion of discount on opening firm value</w:t>
      </w:r>
    </w:p>
    <w:p w14:paraId="489A64AF" w14:textId="77777777" w:rsidR="00AC10F6" w:rsidRDefault="00AC10F6" w:rsidP="007C383F">
      <w:pPr>
        <w:pStyle w:val="ListParagraph"/>
        <w:numPr>
          <w:ilvl w:val="0"/>
          <w:numId w:val="43"/>
        </w:numPr>
        <w:tabs>
          <w:tab w:val="left" w:pos="3060"/>
        </w:tabs>
      </w:pPr>
      <w:r>
        <w:t>Under less-than ideal conditions:</w:t>
      </w:r>
    </w:p>
    <w:p w14:paraId="6615591A" w14:textId="77777777" w:rsidR="00AC10F6" w:rsidRDefault="004B7F76" w:rsidP="007C383F">
      <w:pPr>
        <w:pStyle w:val="ListParagraph"/>
        <w:numPr>
          <w:ilvl w:val="1"/>
          <w:numId w:val="43"/>
        </w:numPr>
        <w:tabs>
          <w:tab w:val="left" w:pos="3060"/>
        </w:tabs>
      </w:pPr>
      <w:r>
        <w:t xml:space="preserve">1. </w:t>
      </w:r>
      <w:r w:rsidR="00AC10F6" w:rsidRPr="003C15E3">
        <w:rPr>
          <w:u w:val="single"/>
        </w:rPr>
        <w:t>Use Time-Series Approach:</w:t>
      </w:r>
      <w:r w:rsidR="00AC10F6">
        <w:t xml:space="preserve"> base future expectations on past performance</w:t>
      </w:r>
    </w:p>
    <w:p w14:paraId="5C0817E1" w14:textId="77777777" w:rsidR="00AC10F6" w:rsidRDefault="00AC10F6" w:rsidP="007C383F">
      <w:pPr>
        <w:pStyle w:val="ListParagraph"/>
        <w:numPr>
          <w:ilvl w:val="2"/>
          <w:numId w:val="43"/>
        </w:numPr>
        <w:tabs>
          <w:tab w:val="left" w:pos="3060"/>
        </w:tabs>
      </w:pPr>
      <w:r>
        <w:t>Depends on earnings persistence</w:t>
      </w:r>
    </w:p>
    <w:p w14:paraId="3D88FFFC" w14:textId="77777777" w:rsidR="00AC10F6" w:rsidRDefault="00AC10F6" w:rsidP="007C383F">
      <w:pPr>
        <w:pStyle w:val="ListParagraph"/>
        <w:numPr>
          <w:ilvl w:val="2"/>
          <w:numId w:val="43"/>
        </w:numPr>
        <w:tabs>
          <w:tab w:val="left" w:pos="3060"/>
        </w:tabs>
      </w:pPr>
      <w:r>
        <w:t>If earnings are completely persistent, then expected earnings from the current year should be the same as last year</w:t>
      </w:r>
    </w:p>
    <w:p w14:paraId="4BD139F1" w14:textId="77777777" w:rsidR="00AC10F6" w:rsidRDefault="004B7F76" w:rsidP="007C383F">
      <w:pPr>
        <w:pStyle w:val="ListParagraph"/>
        <w:numPr>
          <w:ilvl w:val="3"/>
          <w:numId w:val="43"/>
        </w:numPr>
        <w:tabs>
          <w:tab w:val="left" w:pos="3060"/>
        </w:tabs>
      </w:pPr>
      <w:r>
        <w:t>Unexpected earnings would be the change in earnings from last year and this year</w:t>
      </w:r>
    </w:p>
    <w:p w14:paraId="34A8B2C2" w14:textId="77777777" w:rsidR="004B7F76" w:rsidRDefault="004B7F76" w:rsidP="007C383F">
      <w:pPr>
        <w:pStyle w:val="ListParagraph"/>
        <w:numPr>
          <w:ilvl w:val="2"/>
          <w:numId w:val="43"/>
        </w:numPr>
        <w:tabs>
          <w:tab w:val="left" w:pos="3060"/>
        </w:tabs>
      </w:pPr>
      <w:r>
        <w:t>If there is zero persistence, then there is no information in last year’s earnings about future earnings, and all of the current earnings are unexpected</w:t>
      </w:r>
    </w:p>
    <w:p w14:paraId="46DE9F02" w14:textId="77777777" w:rsidR="004B7F76" w:rsidRDefault="004B7F76" w:rsidP="007C383F">
      <w:pPr>
        <w:pStyle w:val="ListParagraph"/>
        <w:numPr>
          <w:ilvl w:val="1"/>
          <w:numId w:val="43"/>
        </w:numPr>
        <w:tabs>
          <w:tab w:val="left" w:pos="3060"/>
        </w:tabs>
      </w:pPr>
      <w:r>
        <w:lastRenderedPageBreak/>
        <w:t xml:space="preserve">2. </w:t>
      </w:r>
      <w:r w:rsidRPr="003C15E3">
        <w:rPr>
          <w:u w:val="single"/>
        </w:rPr>
        <w:t>Use Financial Analysts’ Approach</w:t>
      </w:r>
      <w:r>
        <w:t>:</w:t>
      </w:r>
    </w:p>
    <w:p w14:paraId="6586E418" w14:textId="77777777" w:rsidR="004B7F76" w:rsidRDefault="004B7F76" w:rsidP="007C383F">
      <w:pPr>
        <w:pStyle w:val="ListParagraph"/>
        <w:numPr>
          <w:ilvl w:val="2"/>
          <w:numId w:val="43"/>
        </w:numPr>
        <w:tabs>
          <w:tab w:val="left" w:pos="3060"/>
        </w:tabs>
      </w:pPr>
      <w:r>
        <w:t>Use financial analyst forecast to estimate earnings expectations</w:t>
      </w:r>
    </w:p>
    <w:p w14:paraId="02E95ACB" w14:textId="77777777" w:rsidR="004B7F76" w:rsidRDefault="004B7F76" w:rsidP="007C383F">
      <w:pPr>
        <w:pStyle w:val="ListParagraph"/>
        <w:numPr>
          <w:ilvl w:val="2"/>
          <w:numId w:val="43"/>
        </w:numPr>
        <w:tabs>
          <w:tab w:val="left" w:pos="3060"/>
        </w:tabs>
      </w:pPr>
      <w:r>
        <w:t>When more than one analyst follows the same firm, use the average forecast as the proxy for the market’s earnings expectation</w:t>
      </w:r>
    </w:p>
    <w:p w14:paraId="4D4CCAB4" w14:textId="77777777" w:rsidR="004B7F76" w:rsidRPr="000E2162" w:rsidRDefault="004B7F76" w:rsidP="004B7F76">
      <w:pPr>
        <w:tabs>
          <w:tab w:val="left" w:pos="3060"/>
        </w:tabs>
        <w:rPr>
          <w:b/>
        </w:rPr>
      </w:pPr>
      <w:r w:rsidRPr="000E2162">
        <w:rPr>
          <w:b/>
        </w:rPr>
        <w:t>Costs to Society Re Accounting Information</w:t>
      </w:r>
    </w:p>
    <w:p w14:paraId="160934A3" w14:textId="77777777" w:rsidR="004B7F76" w:rsidRDefault="004B7F76" w:rsidP="007C383F">
      <w:pPr>
        <w:pStyle w:val="ListParagraph"/>
        <w:numPr>
          <w:ilvl w:val="0"/>
          <w:numId w:val="44"/>
        </w:numPr>
        <w:tabs>
          <w:tab w:val="left" w:pos="3060"/>
        </w:tabs>
      </w:pPr>
      <w:r>
        <w:t xml:space="preserve">Information is a public good – consumption by one person does not </w:t>
      </w:r>
      <w:r w:rsidR="000E2162">
        <w:t>destroy it for use of another person</w:t>
      </w:r>
    </w:p>
    <w:p w14:paraId="7A350224" w14:textId="77777777" w:rsidR="000E2162" w:rsidRDefault="000E2162" w:rsidP="007C383F">
      <w:pPr>
        <w:pStyle w:val="ListParagraph"/>
        <w:numPr>
          <w:ilvl w:val="0"/>
          <w:numId w:val="44"/>
        </w:numPr>
        <w:tabs>
          <w:tab w:val="left" w:pos="3060"/>
        </w:tabs>
      </w:pPr>
      <w:r>
        <w:t>Because it is a public good, charging for financial statements would not work because it could just be distributed among society</w:t>
      </w:r>
    </w:p>
    <w:p w14:paraId="5EA0105E" w14:textId="77777777" w:rsidR="000E2162" w:rsidRDefault="000E2162" w:rsidP="007C383F">
      <w:pPr>
        <w:pStyle w:val="ListParagraph"/>
        <w:numPr>
          <w:ilvl w:val="0"/>
          <w:numId w:val="44"/>
        </w:numPr>
        <w:tabs>
          <w:tab w:val="left" w:pos="3060"/>
        </w:tabs>
      </w:pPr>
      <w:r>
        <w:t>Cost of distributing financial statement is high:</w:t>
      </w:r>
    </w:p>
    <w:p w14:paraId="3DA0D890" w14:textId="77777777" w:rsidR="000E2162" w:rsidRDefault="000E2162" w:rsidP="007C383F">
      <w:pPr>
        <w:pStyle w:val="ListParagraph"/>
        <w:numPr>
          <w:ilvl w:val="1"/>
          <w:numId w:val="44"/>
        </w:numPr>
        <w:tabs>
          <w:tab w:val="left" w:pos="3060"/>
        </w:tabs>
      </w:pPr>
      <w:r>
        <w:t>Increased disclosure may be beneficial for competitors and not good for the issuing company</w:t>
      </w:r>
    </w:p>
    <w:p w14:paraId="5EA0F429" w14:textId="77777777" w:rsidR="000E2162" w:rsidRDefault="000E2162" w:rsidP="007C383F">
      <w:pPr>
        <w:pStyle w:val="ListParagraph"/>
        <w:numPr>
          <w:ilvl w:val="1"/>
          <w:numId w:val="44"/>
        </w:numPr>
        <w:tabs>
          <w:tab w:val="left" w:pos="3060"/>
        </w:tabs>
      </w:pPr>
      <w:r>
        <w:t>When it is costly to the company, it becomes costly to investors through higher product prices and lower share returns</w:t>
      </w:r>
    </w:p>
    <w:p w14:paraId="5FC3BFA7" w14:textId="77777777" w:rsidR="000E2162" w:rsidRDefault="000E2162" w:rsidP="007C383F">
      <w:pPr>
        <w:pStyle w:val="ListParagraph"/>
        <w:numPr>
          <w:ilvl w:val="0"/>
          <w:numId w:val="44"/>
        </w:numPr>
        <w:tabs>
          <w:tab w:val="left" w:pos="3060"/>
        </w:tabs>
      </w:pPr>
      <w:r>
        <w:t>The social value of this information depends on both the benefits to potential investors and competitors and on the costs to managers and shareholders</w:t>
      </w:r>
    </w:p>
    <w:p w14:paraId="739C660C" w14:textId="77777777" w:rsidR="000E2162" w:rsidRPr="000E2162" w:rsidRDefault="000E2162" w:rsidP="000E2162">
      <w:pPr>
        <w:tabs>
          <w:tab w:val="left" w:pos="3060"/>
        </w:tabs>
        <w:rPr>
          <w:b/>
        </w:rPr>
      </w:pPr>
      <w:r w:rsidRPr="000E2162">
        <w:rPr>
          <w:b/>
        </w:rPr>
        <w:t>RRA Accounting and Market Response</w:t>
      </w:r>
    </w:p>
    <w:p w14:paraId="5203C847" w14:textId="77777777" w:rsidR="000E2162" w:rsidRDefault="000E2162" w:rsidP="007C383F">
      <w:pPr>
        <w:numPr>
          <w:ilvl w:val="0"/>
          <w:numId w:val="45"/>
        </w:numPr>
        <w:tabs>
          <w:tab w:val="left" w:pos="360"/>
        </w:tabs>
        <w:spacing w:after="0"/>
        <w:ind w:left="360" w:right="-180" w:hanging="270"/>
        <w:jc w:val="both"/>
      </w:pPr>
      <w:r>
        <w:t xml:space="preserve">Despite the relevance of Reserve Recognition Accounting (RRA) information, prior studies (e.g., </w:t>
      </w:r>
      <w:proofErr w:type="spellStart"/>
      <w:r>
        <w:t>Magliolo</w:t>
      </w:r>
      <w:proofErr w:type="spellEnd"/>
      <w:r>
        <w:t xml:space="preserve"> 1986) were unable to report a strong market reaction to RRA information than to historical cost-based information. There are some possible explanations for these unconvincing results:</w:t>
      </w:r>
    </w:p>
    <w:p w14:paraId="7627379D" w14:textId="77777777" w:rsidR="000E2162" w:rsidRDefault="000E2162" w:rsidP="007C383F">
      <w:pPr>
        <w:numPr>
          <w:ilvl w:val="0"/>
          <w:numId w:val="45"/>
        </w:numPr>
        <w:tabs>
          <w:tab w:val="left" w:pos="360"/>
        </w:tabs>
        <w:spacing w:after="0"/>
        <w:ind w:right="-180"/>
        <w:jc w:val="both"/>
      </w:pPr>
      <w:r>
        <w:t>Statistical problems</w:t>
      </w:r>
    </w:p>
    <w:p w14:paraId="598D6A7C" w14:textId="77777777" w:rsidR="000E2162" w:rsidRPr="003033AB" w:rsidRDefault="000E2162" w:rsidP="007C383F">
      <w:pPr>
        <w:numPr>
          <w:ilvl w:val="0"/>
          <w:numId w:val="45"/>
        </w:numPr>
        <w:autoSpaceDE w:val="0"/>
        <w:autoSpaceDN w:val="0"/>
        <w:adjustRightInd w:val="0"/>
        <w:spacing w:after="0" w:line="240" w:lineRule="auto"/>
      </w:pPr>
      <w:r>
        <w:t>Low reliability</w:t>
      </w:r>
      <w:r w:rsidRPr="003520E3">
        <w:rPr>
          <w:color w:val="FF0000"/>
        </w:rPr>
        <w:t xml:space="preserve"> </w:t>
      </w:r>
    </w:p>
    <w:p w14:paraId="213AF8FB" w14:textId="77777777" w:rsidR="000E2162" w:rsidRPr="003520E3" w:rsidRDefault="000E2162" w:rsidP="007C383F">
      <w:pPr>
        <w:numPr>
          <w:ilvl w:val="1"/>
          <w:numId w:val="45"/>
        </w:numPr>
        <w:autoSpaceDE w:val="0"/>
        <w:autoSpaceDN w:val="0"/>
        <w:adjustRightInd w:val="0"/>
        <w:spacing w:after="0" w:line="240" w:lineRule="auto"/>
      </w:pPr>
      <w:r w:rsidRPr="003520E3">
        <w:t>This arises from frequent changes in estimates in</w:t>
      </w:r>
      <w:r>
        <w:t xml:space="preserve"> </w:t>
      </w:r>
      <w:r w:rsidRPr="003520E3">
        <w:t>price, quantities, and so on.</w:t>
      </w:r>
    </w:p>
    <w:p w14:paraId="6E6E782B" w14:textId="77777777" w:rsidR="000E2162" w:rsidRDefault="000E2162" w:rsidP="007C383F">
      <w:pPr>
        <w:numPr>
          <w:ilvl w:val="0"/>
          <w:numId w:val="45"/>
        </w:numPr>
        <w:tabs>
          <w:tab w:val="left" w:pos="360"/>
        </w:tabs>
        <w:spacing w:after="0"/>
        <w:ind w:right="-180"/>
        <w:jc w:val="both"/>
      </w:pPr>
      <w:r>
        <w:t xml:space="preserve"> RRA is pre-empted by more timely sources of reserves information, such as announcements of discoveries, and analyst forecasts. </w:t>
      </w:r>
    </w:p>
    <w:p w14:paraId="1F04F24C" w14:textId="77777777" w:rsidR="000E2162" w:rsidRDefault="000E2162" w:rsidP="007C383F">
      <w:pPr>
        <w:numPr>
          <w:ilvl w:val="0"/>
          <w:numId w:val="45"/>
        </w:numPr>
        <w:tabs>
          <w:tab w:val="left" w:pos="360"/>
        </w:tabs>
        <w:spacing w:after="0"/>
        <w:ind w:right="-180"/>
        <w:jc w:val="both"/>
      </w:pPr>
      <w:r>
        <w:t>The point in time that the market first becomes aware of the RRA information is often unclear. If a reasonable event date for the release of other financial statement information cannot be found, return studies must use wide windows, which are open to a large number of influences on price in addition to accounting information.</w:t>
      </w:r>
    </w:p>
    <w:p w14:paraId="1BD01E03" w14:textId="77777777" w:rsidR="000E2162" w:rsidRDefault="000E2162" w:rsidP="000E2162">
      <w:pPr>
        <w:tabs>
          <w:tab w:val="left" w:pos="360"/>
        </w:tabs>
        <w:spacing w:after="0"/>
        <w:ind w:right="-180"/>
        <w:jc w:val="both"/>
      </w:pPr>
    </w:p>
    <w:p w14:paraId="1A1C08BF" w14:textId="77777777" w:rsidR="004578F7" w:rsidRDefault="004578F7" w:rsidP="000E2162">
      <w:pPr>
        <w:tabs>
          <w:tab w:val="left" w:pos="360"/>
        </w:tabs>
        <w:spacing w:after="0"/>
        <w:ind w:right="-180"/>
        <w:jc w:val="both"/>
      </w:pPr>
    </w:p>
    <w:p w14:paraId="40884EF2" w14:textId="77777777" w:rsidR="004578F7" w:rsidRDefault="004578F7" w:rsidP="000E2162">
      <w:pPr>
        <w:tabs>
          <w:tab w:val="left" w:pos="360"/>
        </w:tabs>
        <w:spacing w:after="0"/>
        <w:ind w:right="-180"/>
        <w:jc w:val="both"/>
      </w:pPr>
    </w:p>
    <w:p w14:paraId="48495F4C" w14:textId="77777777" w:rsidR="004578F7" w:rsidRDefault="004578F7" w:rsidP="000E2162">
      <w:pPr>
        <w:tabs>
          <w:tab w:val="left" w:pos="360"/>
        </w:tabs>
        <w:spacing w:after="0"/>
        <w:ind w:right="-180"/>
        <w:jc w:val="both"/>
      </w:pPr>
    </w:p>
    <w:p w14:paraId="41D9C817" w14:textId="77777777" w:rsidR="004578F7" w:rsidRDefault="004578F7" w:rsidP="000E2162">
      <w:pPr>
        <w:tabs>
          <w:tab w:val="left" w:pos="360"/>
        </w:tabs>
        <w:spacing w:after="0"/>
        <w:ind w:right="-180"/>
        <w:jc w:val="both"/>
      </w:pPr>
    </w:p>
    <w:p w14:paraId="5ADE0042" w14:textId="77777777" w:rsidR="004578F7" w:rsidRDefault="004578F7" w:rsidP="000E2162">
      <w:pPr>
        <w:tabs>
          <w:tab w:val="left" w:pos="360"/>
        </w:tabs>
        <w:spacing w:after="0"/>
        <w:ind w:right="-180"/>
        <w:jc w:val="both"/>
      </w:pPr>
    </w:p>
    <w:p w14:paraId="11BCBF05" w14:textId="77777777" w:rsidR="004578F7" w:rsidRDefault="004578F7" w:rsidP="000E2162">
      <w:pPr>
        <w:tabs>
          <w:tab w:val="left" w:pos="360"/>
        </w:tabs>
        <w:spacing w:after="0"/>
        <w:ind w:right="-180"/>
        <w:jc w:val="both"/>
      </w:pPr>
    </w:p>
    <w:p w14:paraId="10F8CA88" w14:textId="77777777" w:rsidR="004578F7" w:rsidRDefault="004578F7" w:rsidP="000E2162">
      <w:pPr>
        <w:tabs>
          <w:tab w:val="left" w:pos="360"/>
        </w:tabs>
        <w:spacing w:after="0"/>
        <w:ind w:right="-180"/>
        <w:jc w:val="both"/>
      </w:pPr>
    </w:p>
    <w:p w14:paraId="337E8139" w14:textId="77777777" w:rsidR="004578F7" w:rsidRDefault="004578F7" w:rsidP="000E2162">
      <w:pPr>
        <w:tabs>
          <w:tab w:val="left" w:pos="360"/>
        </w:tabs>
        <w:spacing w:after="0"/>
        <w:ind w:right="-180"/>
        <w:jc w:val="both"/>
      </w:pPr>
    </w:p>
    <w:p w14:paraId="17303BEE" w14:textId="77777777" w:rsidR="004578F7" w:rsidRDefault="004578F7" w:rsidP="000E2162">
      <w:pPr>
        <w:tabs>
          <w:tab w:val="left" w:pos="360"/>
        </w:tabs>
        <w:spacing w:after="0"/>
        <w:ind w:right="-180"/>
        <w:jc w:val="both"/>
      </w:pPr>
    </w:p>
    <w:p w14:paraId="3077D33B" w14:textId="77777777" w:rsidR="004578F7" w:rsidRPr="004578F7" w:rsidRDefault="004578F7" w:rsidP="00AC7A6A">
      <w:pPr>
        <w:tabs>
          <w:tab w:val="left" w:pos="360"/>
        </w:tabs>
        <w:spacing w:after="0"/>
        <w:ind w:right="-180"/>
        <w:rPr>
          <w:b/>
          <w:sz w:val="28"/>
          <w:szCs w:val="28"/>
          <w:u w:val="single"/>
        </w:rPr>
      </w:pPr>
      <w:r w:rsidRPr="004578F7">
        <w:rPr>
          <w:b/>
          <w:sz w:val="28"/>
          <w:szCs w:val="28"/>
          <w:u w:val="single"/>
        </w:rPr>
        <w:lastRenderedPageBreak/>
        <w:t>Chapter 6: The Measurement Approach to Decision Usefulness</w:t>
      </w:r>
    </w:p>
    <w:p w14:paraId="7FEF59FE" w14:textId="77777777" w:rsidR="004578F7" w:rsidRDefault="004578F7" w:rsidP="00AC7A6A">
      <w:pPr>
        <w:tabs>
          <w:tab w:val="left" w:pos="360"/>
        </w:tabs>
        <w:spacing w:after="0"/>
        <w:ind w:right="-180"/>
      </w:pPr>
    </w:p>
    <w:p w14:paraId="1C5C6421" w14:textId="77777777" w:rsidR="004578F7" w:rsidRDefault="004578F7" w:rsidP="007C383F">
      <w:pPr>
        <w:pStyle w:val="ListParagraph"/>
        <w:numPr>
          <w:ilvl w:val="0"/>
          <w:numId w:val="46"/>
        </w:numPr>
        <w:tabs>
          <w:tab w:val="left" w:pos="360"/>
        </w:tabs>
        <w:spacing w:after="0"/>
        <w:ind w:right="-180"/>
      </w:pPr>
      <w:r w:rsidRPr="004578F7">
        <w:rPr>
          <w:b/>
        </w:rPr>
        <w:t>Measurement approach</w:t>
      </w:r>
      <w:r>
        <w:t xml:space="preserve"> to decision usefulness implies greater usage of current values in the financial statements</w:t>
      </w:r>
    </w:p>
    <w:p w14:paraId="1F7A0D66" w14:textId="77777777" w:rsidR="004578F7" w:rsidRDefault="004578F7" w:rsidP="007C383F">
      <w:pPr>
        <w:pStyle w:val="ListParagraph"/>
        <w:numPr>
          <w:ilvl w:val="1"/>
          <w:numId w:val="46"/>
        </w:numPr>
        <w:tabs>
          <w:tab w:val="left" w:pos="360"/>
        </w:tabs>
        <w:spacing w:after="0"/>
        <w:ind w:right="-180"/>
      </w:pPr>
      <w:r>
        <w:t>Accountants undertake a responsibility to incorporate current values into the financial statements proper, providing that this can be done with reasonable reliability, thereby recognizing an increased obligation to assist investors to predict firm performance and value</w:t>
      </w:r>
    </w:p>
    <w:p w14:paraId="2860B981" w14:textId="77777777" w:rsidR="004578F7" w:rsidRDefault="004578F7" w:rsidP="007C383F">
      <w:pPr>
        <w:pStyle w:val="ListParagraph"/>
        <w:numPr>
          <w:ilvl w:val="0"/>
          <w:numId w:val="46"/>
        </w:numPr>
        <w:tabs>
          <w:tab w:val="left" w:pos="360"/>
        </w:tabs>
        <w:spacing w:after="0"/>
        <w:ind w:right="-180"/>
      </w:pPr>
      <w:r>
        <w:t>Intent of this performance is to enable better predictions by means of a more informative information system</w:t>
      </w:r>
    </w:p>
    <w:p w14:paraId="21B94D3A" w14:textId="77777777" w:rsidR="004578F7" w:rsidRDefault="004578F7" w:rsidP="007C383F">
      <w:pPr>
        <w:pStyle w:val="ListParagraph"/>
        <w:numPr>
          <w:ilvl w:val="0"/>
          <w:numId w:val="46"/>
        </w:numPr>
        <w:tabs>
          <w:tab w:val="left" w:pos="360"/>
        </w:tabs>
        <w:spacing w:after="0"/>
        <w:ind w:right="-180"/>
      </w:pPr>
      <w:r>
        <w:t>If a measurement approach is to be useful for investors, increased relevance must outweigh any reduction in reliability</w:t>
      </w:r>
    </w:p>
    <w:p w14:paraId="5CD468DC" w14:textId="77777777" w:rsidR="00AC7A6A" w:rsidRDefault="00AC7A6A" w:rsidP="007C383F">
      <w:pPr>
        <w:pStyle w:val="ListParagraph"/>
        <w:numPr>
          <w:ilvl w:val="0"/>
          <w:numId w:val="46"/>
        </w:numPr>
        <w:tabs>
          <w:tab w:val="left" w:pos="360"/>
        </w:tabs>
        <w:spacing w:after="0"/>
        <w:ind w:right="-180"/>
      </w:pPr>
      <w:r>
        <w:t>Under information approach, we argue that format is not important, but it is that content that is important. Current value accounting should be used more, but doesn’t have to be in financial statements proper – can be in supplementary info (i.e. notes)</w:t>
      </w:r>
    </w:p>
    <w:p w14:paraId="5BC7A200" w14:textId="77777777" w:rsidR="00AC7A6A" w:rsidRDefault="00AC7A6A" w:rsidP="007C383F">
      <w:pPr>
        <w:pStyle w:val="ListParagraph"/>
        <w:numPr>
          <w:ilvl w:val="1"/>
          <w:numId w:val="46"/>
        </w:numPr>
        <w:tabs>
          <w:tab w:val="left" w:pos="360"/>
        </w:tabs>
        <w:spacing w:after="0"/>
        <w:ind w:right="-180"/>
      </w:pPr>
      <w:r>
        <w:t>Under Measurement Approach, we argue that format is important and current values should be used more, but in financial statements proper</w:t>
      </w:r>
    </w:p>
    <w:p w14:paraId="149ED14A" w14:textId="77777777" w:rsidR="004578F7" w:rsidRDefault="004578F7" w:rsidP="007C383F">
      <w:pPr>
        <w:pStyle w:val="ListParagraph"/>
        <w:numPr>
          <w:ilvl w:val="0"/>
          <w:numId w:val="46"/>
        </w:numPr>
        <w:tabs>
          <w:tab w:val="left" w:pos="360"/>
        </w:tabs>
        <w:spacing w:after="0"/>
        <w:ind w:right="-180"/>
      </w:pPr>
      <w:r>
        <w:t>Reasons for move towards measurement approach</w:t>
      </w:r>
    </w:p>
    <w:p w14:paraId="2BCFBDF4" w14:textId="77777777" w:rsidR="004578F7" w:rsidRDefault="004578F7" w:rsidP="007C383F">
      <w:pPr>
        <w:pStyle w:val="ListParagraph"/>
        <w:numPr>
          <w:ilvl w:val="1"/>
          <w:numId w:val="46"/>
        </w:numPr>
        <w:tabs>
          <w:tab w:val="left" w:pos="360"/>
        </w:tabs>
        <w:spacing w:after="0"/>
        <w:ind w:right="-180"/>
      </w:pPr>
      <w:r>
        <w:t>1.  The extent to which markets are not efficient and investors are not collectively rational</w:t>
      </w:r>
    </w:p>
    <w:p w14:paraId="5BB70AB6" w14:textId="77777777" w:rsidR="004578F7" w:rsidRDefault="004578F7" w:rsidP="007C383F">
      <w:pPr>
        <w:pStyle w:val="ListParagraph"/>
        <w:numPr>
          <w:ilvl w:val="2"/>
          <w:numId w:val="46"/>
        </w:numPr>
        <w:tabs>
          <w:tab w:val="left" w:pos="360"/>
        </w:tabs>
        <w:spacing w:after="0"/>
        <w:ind w:right="-180"/>
      </w:pPr>
      <w:r>
        <w:t>If investors are not as adept at processing information as rational decision theory assumes, perhaps usefulness would be enhanced by greater use of current values in the financial statements proper</w:t>
      </w:r>
    </w:p>
    <w:p w14:paraId="1822D67D" w14:textId="219666E8" w:rsidR="004578F7" w:rsidRDefault="004578F7" w:rsidP="007C383F">
      <w:pPr>
        <w:pStyle w:val="ListParagraph"/>
        <w:numPr>
          <w:ilvl w:val="1"/>
          <w:numId w:val="46"/>
        </w:numPr>
        <w:tabs>
          <w:tab w:val="left" w:pos="360"/>
        </w:tabs>
        <w:spacing w:after="0"/>
        <w:ind w:right="-180"/>
      </w:pPr>
      <w:r>
        <w:t>2. Low proportion of share price variability expl</w:t>
      </w:r>
      <w:r w:rsidR="00B6230B">
        <w:t>ained by historical cost-based n</w:t>
      </w:r>
      <w:r>
        <w:t>et income</w:t>
      </w:r>
    </w:p>
    <w:p w14:paraId="0B8B423E" w14:textId="77777777" w:rsidR="004578F7" w:rsidRDefault="004578F7" w:rsidP="007C383F">
      <w:pPr>
        <w:pStyle w:val="ListParagraph"/>
        <w:numPr>
          <w:ilvl w:val="1"/>
          <w:numId w:val="46"/>
        </w:numPr>
        <w:tabs>
          <w:tab w:val="left" w:pos="360"/>
        </w:tabs>
        <w:spacing w:after="0"/>
        <w:ind w:right="-180"/>
      </w:pPr>
      <w:r>
        <w:t xml:space="preserve">3. </w:t>
      </w:r>
      <w:proofErr w:type="spellStart"/>
      <w:r>
        <w:t>Ohlson</w:t>
      </w:r>
      <w:proofErr w:type="spellEnd"/>
      <w:r>
        <w:t xml:space="preserve"> clean surplus theory</w:t>
      </w:r>
    </w:p>
    <w:p w14:paraId="78790D47" w14:textId="77777777" w:rsidR="004578F7" w:rsidRDefault="004578F7" w:rsidP="007C383F">
      <w:pPr>
        <w:pStyle w:val="ListParagraph"/>
        <w:numPr>
          <w:ilvl w:val="1"/>
          <w:numId w:val="46"/>
        </w:numPr>
        <w:tabs>
          <w:tab w:val="left" w:pos="360"/>
        </w:tabs>
        <w:spacing w:after="0"/>
        <w:ind w:right="-180"/>
      </w:pPr>
      <w:r>
        <w:t>4. Auditor legal liability</w:t>
      </w:r>
    </w:p>
    <w:p w14:paraId="56FF44F1" w14:textId="77777777" w:rsidR="004578F7" w:rsidRDefault="004578F7" w:rsidP="00AC7A6A">
      <w:pPr>
        <w:pStyle w:val="ListParagraph"/>
        <w:tabs>
          <w:tab w:val="left" w:pos="360"/>
        </w:tabs>
        <w:spacing w:after="0"/>
        <w:ind w:left="1080" w:right="-180"/>
      </w:pPr>
    </w:p>
    <w:p w14:paraId="1A04BDFA" w14:textId="77777777" w:rsidR="004578F7" w:rsidRPr="00C929BB" w:rsidRDefault="004578F7" w:rsidP="00AC7A6A">
      <w:pPr>
        <w:tabs>
          <w:tab w:val="left" w:pos="360"/>
        </w:tabs>
        <w:spacing w:after="0"/>
        <w:ind w:right="-180"/>
        <w:rPr>
          <w:b/>
        </w:rPr>
      </w:pPr>
      <w:r w:rsidRPr="00C929BB">
        <w:rPr>
          <w:b/>
        </w:rPr>
        <w:t>6.2 Are Securities Markets Fully Efficient?</w:t>
      </w:r>
    </w:p>
    <w:p w14:paraId="42F8CCED" w14:textId="77777777" w:rsidR="004578F7" w:rsidRDefault="004578F7" w:rsidP="00AC7A6A">
      <w:pPr>
        <w:tabs>
          <w:tab w:val="left" w:pos="360"/>
        </w:tabs>
        <w:spacing w:after="0"/>
        <w:ind w:right="-180"/>
      </w:pPr>
    </w:p>
    <w:p w14:paraId="5DDA8746" w14:textId="77777777" w:rsidR="00AC7A6A" w:rsidRDefault="00AC7A6A" w:rsidP="007C383F">
      <w:pPr>
        <w:pStyle w:val="ListParagraph"/>
        <w:numPr>
          <w:ilvl w:val="0"/>
          <w:numId w:val="47"/>
        </w:numPr>
        <w:tabs>
          <w:tab w:val="left" w:pos="360"/>
        </w:tabs>
        <w:spacing w:after="0"/>
        <w:ind w:right="-180"/>
      </w:pPr>
      <w:r>
        <w:t>The practice of relying on supplementary information in notes and elsewhere to augment historical cost-based financial statements proper may not be completely effective in conveying useful information to investors</w:t>
      </w:r>
    </w:p>
    <w:p w14:paraId="238466D7" w14:textId="77777777" w:rsidR="00AC7A6A" w:rsidRDefault="00AC7A6A" w:rsidP="007C383F">
      <w:pPr>
        <w:pStyle w:val="ListParagraph"/>
        <w:numPr>
          <w:ilvl w:val="0"/>
          <w:numId w:val="47"/>
        </w:numPr>
        <w:tabs>
          <w:tab w:val="left" w:pos="360"/>
        </w:tabs>
        <w:spacing w:after="0"/>
        <w:ind w:right="-180"/>
      </w:pPr>
      <w:r>
        <w:t>Does average investor behaviour correspond with the rational decision theory and investment models?</w:t>
      </w:r>
    </w:p>
    <w:p w14:paraId="296A1ADA" w14:textId="77777777" w:rsidR="00AC7A6A" w:rsidRPr="00AC7A6A" w:rsidRDefault="00AC7A6A" w:rsidP="00AC7A6A">
      <w:pPr>
        <w:tabs>
          <w:tab w:val="left" w:pos="360"/>
        </w:tabs>
        <w:spacing w:after="0"/>
        <w:ind w:right="-180"/>
        <w:rPr>
          <w:u w:val="single"/>
        </w:rPr>
      </w:pPr>
      <w:r w:rsidRPr="00AC7A6A">
        <w:rPr>
          <w:u w:val="single"/>
        </w:rPr>
        <w:t>Behavioural Characteristics that Question Market Efficiency:</w:t>
      </w:r>
      <w:r w:rsidR="00C929BB">
        <w:rPr>
          <w:u w:val="single"/>
        </w:rPr>
        <w:t xml:space="preserve"> Behavioural Finance</w:t>
      </w:r>
    </w:p>
    <w:p w14:paraId="6694E161" w14:textId="77777777" w:rsidR="00AC7A6A" w:rsidRDefault="00AC7A6A" w:rsidP="00AC7A6A">
      <w:pPr>
        <w:tabs>
          <w:tab w:val="left" w:pos="360"/>
        </w:tabs>
        <w:spacing w:after="0"/>
        <w:ind w:right="-180"/>
      </w:pPr>
    </w:p>
    <w:p w14:paraId="78972B50" w14:textId="77777777" w:rsidR="00AC7A6A" w:rsidRDefault="00AC7A6A" w:rsidP="00AC7A6A">
      <w:pPr>
        <w:tabs>
          <w:tab w:val="left" w:pos="360"/>
        </w:tabs>
        <w:spacing w:after="0"/>
        <w:ind w:right="-180"/>
      </w:pPr>
      <w:r w:rsidRPr="00AC7A6A">
        <w:rPr>
          <w:highlight w:val="yellow"/>
        </w:rPr>
        <w:t>1. Limited Attention</w:t>
      </w:r>
    </w:p>
    <w:p w14:paraId="5A659D8A" w14:textId="77777777" w:rsidR="00AC7A6A" w:rsidRDefault="00AC7A6A" w:rsidP="007C383F">
      <w:pPr>
        <w:pStyle w:val="ListParagraph"/>
        <w:numPr>
          <w:ilvl w:val="0"/>
          <w:numId w:val="48"/>
        </w:numPr>
        <w:tabs>
          <w:tab w:val="left" w:pos="360"/>
        </w:tabs>
        <w:spacing w:after="0"/>
        <w:ind w:right="-180"/>
      </w:pPr>
      <w:r>
        <w:t>Investors may not have the time, inclination, or ability to process all available information</w:t>
      </w:r>
    </w:p>
    <w:p w14:paraId="07598C2E" w14:textId="77777777" w:rsidR="00AC7A6A" w:rsidRDefault="00AC7A6A" w:rsidP="007C383F">
      <w:pPr>
        <w:pStyle w:val="ListParagraph"/>
        <w:numPr>
          <w:ilvl w:val="0"/>
          <w:numId w:val="48"/>
        </w:numPr>
        <w:tabs>
          <w:tab w:val="left" w:pos="360"/>
        </w:tabs>
        <w:spacing w:after="0"/>
        <w:ind w:right="-180"/>
      </w:pPr>
      <w:r>
        <w:t xml:space="preserve">They concentrate on the information that is readily available and ignore information that is in the notes or elsewhere in </w:t>
      </w:r>
      <w:proofErr w:type="gramStart"/>
      <w:r>
        <w:t>the  annual</w:t>
      </w:r>
      <w:proofErr w:type="gramEnd"/>
      <w:r>
        <w:t xml:space="preserve"> report</w:t>
      </w:r>
    </w:p>
    <w:p w14:paraId="11637A69" w14:textId="77777777" w:rsidR="00AC7A6A" w:rsidRDefault="00AC7A6A" w:rsidP="007C383F">
      <w:pPr>
        <w:pStyle w:val="ListParagraph"/>
        <w:numPr>
          <w:ilvl w:val="0"/>
          <w:numId w:val="48"/>
        </w:numPr>
        <w:tabs>
          <w:tab w:val="left" w:pos="360"/>
        </w:tabs>
        <w:spacing w:after="0"/>
        <w:ind w:right="-180"/>
      </w:pPr>
      <w:r>
        <w:t>Investors may be biased in their reaction to new information and may be more conservative in their reaction to new information</w:t>
      </w:r>
    </w:p>
    <w:p w14:paraId="305BBC60" w14:textId="77777777" w:rsidR="00AC7A6A" w:rsidRDefault="00AC7A6A" w:rsidP="007C383F">
      <w:pPr>
        <w:pStyle w:val="ListParagraph"/>
        <w:numPr>
          <w:ilvl w:val="1"/>
          <w:numId w:val="48"/>
        </w:numPr>
        <w:tabs>
          <w:tab w:val="left" w:pos="360"/>
        </w:tabs>
        <w:spacing w:after="0"/>
        <w:ind w:right="-180"/>
      </w:pPr>
      <w:r>
        <w:t xml:space="preserve">I.e. they will revise their </w:t>
      </w:r>
      <w:proofErr w:type="gramStart"/>
      <w:r>
        <w:t>beliefs  by</w:t>
      </w:r>
      <w:proofErr w:type="gramEnd"/>
      <w:r>
        <w:t xml:space="preserve"> less than the Bayes’ Theorem implies</w:t>
      </w:r>
    </w:p>
    <w:p w14:paraId="4A568B7C" w14:textId="77777777" w:rsidR="00AC7A6A" w:rsidRDefault="00AC7A6A" w:rsidP="00AC7A6A">
      <w:pPr>
        <w:tabs>
          <w:tab w:val="left" w:pos="360"/>
        </w:tabs>
        <w:spacing w:after="0"/>
        <w:ind w:right="-180"/>
      </w:pPr>
      <w:r w:rsidRPr="00C929BB">
        <w:rPr>
          <w:highlight w:val="yellow"/>
        </w:rPr>
        <w:lastRenderedPageBreak/>
        <w:t>2. Over-Confidence</w:t>
      </w:r>
    </w:p>
    <w:p w14:paraId="7532015D" w14:textId="77777777" w:rsidR="00AC7A6A" w:rsidRDefault="00A9474C" w:rsidP="007C383F">
      <w:pPr>
        <w:pStyle w:val="ListParagraph"/>
        <w:numPr>
          <w:ilvl w:val="0"/>
          <w:numId w:val="49"/>
        </w:numPr>
        <w:tabs>
          <w:tab w:val="left" w:pos="360"/>
        </w:tabs>
        <w:spacing w:after="0"/>
        <w:ind w:right="-180"/>
      </w:pPr>
      <w:r>
        <w:t xml:space="preserve">Investors overestimate the precision of information they collect themselves </w:t>
      </w:r>
    </w:p>
    <w:p w14:paraId="1A6B4D84" w14:textId="77777777" w:rsidR="00A9474C" w:rsidRDefault="00A9474C" w:rsidP="007C383F">
      <w:pPr>
        <w:pStyle w:val="ListParagraph"/>
        <w:numPr>
          <w:ilvl w:val="0"/>
          <w:numId w:val="49"/>
        </w:numPr>
        <w:tabs>
          <w:tab w:val="left" w:pos="360"/>
        </w:tabs>
        <w:spacing w:after="0"/>
        <w:ind w:right="-180"/>
      </w:pPr>
      <w:r>
        <w:t>When an investor is over-confident with the information that they have themselves obtained, they will under-react to new information that is not self-collected relative to information that is</w:t>
      </w:r>
    </w:p>
    <w:p w14:paraId="218976D4" w14:textId="77777777" w:rsidR="00A9474C" w:rsidRDefault="00A9474C" w:rsidP="00A9474C">
      <w:pPr>
        <w:tabs>
          <w:tab w:val="left" w:pos="360"/>
        </w:tabs>
        <w:spacing w:after="0"/>
        <w:ind w:right="-180"/>
      </w:pPr>
    </w:p>
    <w:p w14:paraId="31A06D7F" w14:textId="77777777" w:rsidR="00A9474C" w:rsidRDefault="00A9474C" w:rsidP="00A9474C">
      <w:pPr>
        <w:tabs>
          <w:tab w:val="left" w:pos="360"/>
        </w:tabs>
        <w:spacing w:after="0"/>
        <w:ind w:right="-180"/>
      </w:pPr>
      <w:r w:rsidRPr="00C929BB">
        <w:rPr>
          <w:highlight w:val="yellow"/>
        </w:rPr>
        <w:t>3. Representativeness</w:t>
      </w:r>
      <w:r>
        <w:t xml:space="preserve"> </w:t>
      </w:r>
    </w:p>
    <w:p w14:paraId="729569BD" w14:textId="77777777" w:rsidR="00A9474C" w:rsidRDefault="00A9474C" w:rsidP="007C383F">
      <w:pPr>
        <w:pStyle w:val="ListParagraph"/>
        <w:numPr>
          <w:ilvl w:val="0"/>
          <w:numId w:val="50"/>
        </w:numPr>
        <w:tabs>
          <w:tab w:val="left" w:pos="360"/>
        </w:tabs>
        <w:spacing w:after="0"/>
        <w:ind w:right="-180"/>
      </w:pPr>
      <w:r>
        <w:t>Investor assigns too much weight to evidence that is consistent with their impressions of the population from which the evidence is drawn</w:t>
      </w:r>
    </w:p>
    <w:p w14:paraId="6906783C" w14:textId="77777777" w:rsidR="00A9474C" w:rsidRDefault="00A9474C" w:rsidP="007C383F">
      <w:pPr>
        <w:pStyle w:val="ListParagraph"/>
        <w:numPr>
          <w:ilvl w:val="0"/>
          <w:numId w:val="50"/>
        </w:numPr>
        <w:tabs>
          <w:tab w:val="left" w:pos="360"/>
        </w:tabs>
        <w:spacing w:after="0"/>
        <w:ind w:right="-180"/>
      </w:pPr>
      <w:r>
        <w:t>Draw conclusions based on a few instances</w:t>
      </w:r>
    </w:p>
    <w:p w14:paraId="383F8A50" w14:textId="77777777" w:rsidR="000E2162" w:rsidRDefault="00A9474C" w:rsidP="007C383F">
      <w:pPr>
        <w:pStyle w:val="ListParagraph"/>
        <w:numPr>
          <w:ilvl w:val="0"/>
          <w:numId w:val="50"/>
        </w:numPr>
        <w:tabs>
          <w:tab w:val="left" w:pos="360"/>
        </w:tabs>
        <w:spacing w:after="0"/>
        <w:ind w:right="-180"/>
      </w:pPr>
      <w:r>
        <w:t>Ex: an individual could take the evidence of a few years of growth in earnings as representative of a growth firm, ignoring the fact that it is quite likely that earnings will revert to normal in the future</w:t>
      </w:r>
    </w:p>
    <w:p w14:paraId="78A9E3D8" w14:textId="77777777" w:rsidR="00A9474C" w:rsidRDefault="00A9474C" w:rsidP="007C383F">
      <w:pPr>
        <w:pStyle w:val="ListParagraph"/>
        <w:numPr>
          <w:ilvl w:val="1"/>
          <w:numId w:val="50"/>
        </w:numPr>
        <w:tabs>
          <w:tab w:val="left" w:pos="360"/>
        </w:tabs>
        <w:spacing w:after="0"/>
        <w:ind w:right="-180"/>
      </w:pPr>
      <w:r>
        <w:t xml:space="preserve">The investor is over-reacting to the evidence and revising their beliefs about the form by more than prescribed by Bayes’ Theorem </w:t>
      </w:r>
    </w:p>
    <w:p w14:paraId="2896CBEF" w14:textId="77777777" w:rsidR="00A9474C" w:rsidRDefault="00A9474C" w:rsidP="007C383F">
      <w:pPr>
        <w:pStyle w:val="ListParagraph"/>
        <w:numPr>
          <w:ilvl w:val="0"/>
          <w:numId w:val="50"/>
        </w:numPr>
        <w:tabs>
          <w:tab w:val="left" w:pos="360"/>
        </w:tabs>
        <w:spacing w:after="0"/>
        <w:ind w:right="-180"/>
      </w:pPr>
      <w:r>
        <w:t>If enough investors act this way, then share price will overreact to the reported growth in earnings</w:t>
      </w:r>
    </w:p>
    <w:p w14:paraId="3C1A4A0B" w14:textId="77777777" w:rsidR="00A9474C" w:rsidRDefault="00A9474C" w:rsidP="00A9474C">
      <w:pPr>
        <w:tabs>
          <w:tab w:val="left" w:pos="360"/>
        </w:tabs>
        <w:spacing w:after="0"/>
        <w:ind w:right="-180"/>
      </w:pPr>
    </w:p>
    <w:p w14:paraId="57976701" w14:textId="77777777" w:rsidR="00A9474C" w:rsidRDefault="00A9474C" w:rsidP="00A9474C">
      <w:pPr>
        <w:tabs>
          <w:tab w:val="left" w:pos="360"/>
        </w:tabs>
        <w:spacing w:after="0"/>
        <w:ind w:right="-180"/>
      </w:pPr>
      <w:r w:rsidRPr="00C929BB">
        <w:rPr>
          <w:highlight w:val="yellow"/>
        </w:rPr>
        <w:t>4. Self-Attribution Bias</w:t>
      </w:r>
    </w:p>
    <w:p w14:paraId="6657777D" w14:textId="77777777" w:rsidR="00A9474C" w:rsidRDefault="00A9474C" w:rsidP="007C383F">
      <w:pPr>
        <w:pStyle w:val="ListParagraph"/>
        <w:numPr>
          <w:ilvl w:val="0"/>
          <w:numId w:val="51"/>
        </w:numPr>
        <w:tabs>
          <w:tab w:val="left" w:pos="360"/>
        </w:tabs>
        <w:spacing w:after="0"/>
        <w:ind w:right="-180"/>
      </w:pPr>
      <w:r>
        <w:t>Investors feel that good decision outcomes are due to their abilities, whereas bad outcomes are due to unfortunate realizations of states of nature, hence not their fault</w:t>
      </w:r>
    </w:p>
    <w:p w14:paraId="448FE65A" w14:textId="77777777" w:rsidR="00A9474C" w:rsidRDefault="00A9474C" w:rsidP="007C383F">
      <w:pPr>
        <w:pStyle w:val="ListParagraph"/>
        <w:numPr>
          <w:ilvl w:val="0"/>
          <w:numId w:val="51"/>
        </w:numPr>
        <w:tabs>
          <w:tab w:val="left" w:pos="360"/>
        </w:tabs>
        <w:spacing w:after="0"/>
        <w:ind w:right="-180"/>
      </w:pPr>
      <w:r>
        <w:t>When share price rises, they feel that their investment ability rises; when share price falls, their faith in their ability does not fall</w:t>
      </w:r>
    </w:p>
    <w:p w14:paraId="5F84F2C5" w14:textId="77777777" w:rsidR="00A9474C" w:rsidRDefault="00A9474C" w:rsidP="007C383F">
      <w:pPr>
        <w:pStyle w:val="ListParagraph"/>
        <w:numPr>
          <w:ilvl w:val="0"/>
          <w:numId w:val="51"/>
        </w:numPr>
        <w:tabs>
          <w:tab w:val="left" w:pos="360"/>
        </w:tabs>
        <w:spacing w:after="0"/>
        <w:ind w:right="-180"/>
      </w:pPr>
      <w:r>
        <w:t xml:space="preserve">This could lead to </w:t>
      </w:r>
      <w:r w:rsidRPr="00C929BB">
        <w:rPr>
          <w:b/>
        </w:rPr>
        <w:t>share price momentum</w:t>
      </w:r>
      <w:r>
        <w:t>:</w:t>
      </w:r>
    </w:p>
    <w:p w14:paraId="0A6254E0" w14:textId="77777777" w:rsidR="00A9474C" w:rsidRDefault="00A9474C" w:rsidP="007C383F">
      <w:pPr>
        <w:pStyle w:val="ListParagraph"/>
        <w:numPr>
          <w:ilvl w:val="1"/>
          <w:numId w:val="51"/>
        </w:numPr>
        <w:tabs>
          <w:tab w:val="left" w:pos="360"/>
        </w:tabs>
        <w:spacing w:after="0"/>
        <w:ind w:right="-180"/>
      </w:pPr>
      <w:r>
        <w:t>Reinforced confidence following a rise in share price leads to the purchase of more shares, and share prices rises fu</w:t>
      </w:r>
      <w:r w:rsidR="00C929BB">
        <w:t>r</w:t>
      </w:r>
      <w:r>
        <w:t>ther</w:t>
      </w:r>
    </w:p>
    <w:p w14:paraId="795EB8AA" w14:textId="77777777" w:rsidR="00A9474C" w:rsidRDefault="00A9474C" w:rsidP="007C383F">
      <w:pPr>
        <w:pStyle w:val="ListParagraph"/>
        <w:numPr>
          <w:ilvl w:val="1"/>
          <w:numId w:val="51"/>
        </w:numPr>
        <w:tabs>
          <w:tab w:val="left" w:pos="360"/>
        </w:tabs>
        <w:spacing w:after="0"/>
        <w:ind w:right="-180"/>
      </w:pPr>
      <w:r>
        <w:t>Confidence is reinforced and the process feeds on itself; gains momentum</w:t>
      </w:r>
      <w:r w:rsidR="00C929BB">
        <w:rPr>
          <w:noProof/>
          <w:lang w:val="en-US"/>
        </w:rPr>
        <w:drawing>
          <wp:inline distT="0" distB="0" distL="0" distR="0" wp14:anchorId="15478CD9" wp14:editId="74F3185A">
            <wp:extent cx="3457575" cy="2476500"/>
            <wp:effectExtent l="0" t="76200" r="0" b="88900"/>
            <wp:docPr id="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1DF40CD" w14:textId="77777777" w:rsidR="00A9474C" w:rsidRDefault="00A9474C" w:rsidP="00A9474C">
      <w:pPr>
        <w:tabs>
          <w:tab w:val="left" w:pos="360"/>
        </w:tabs>
        <w:spacing w:after="0"/>
        <w:ind w:right="-180"/>
      </w:pPr>
    </w:p>
    <w:p w14:paraId="2CC5D9CE" w14:textId="77777777" w:rsidR="000E2162" w:rsidRDefault="00C929BB" w:rsidP="007C383F">
      <w:pPr>
        <w:pStyle w:val="ListParagraph"/>
        <w:numPr>
          <w:ilvl w:val="0"/>
          <w:numId w:val="52"/>
        </w:numPr>
        <w:tabs>
          <w:tab w:val="left" w:pos="3060"/>
        </w:tabs>
      </w:pPr>
      <w:r w:rsidRPr="00C929BB">
        <w:rPr>
          <w:b/>
        </w:rPr>
        <w:t>Motivated Reasoning</w:t>
      </w:r>
      <w:r>
        <w:t>: individuals accept at face value information that is consistent with their preferences (e.g. GN/BN)</w:t>
      </w:r>
    </w:p>
    <w:p w14:paraId="3D418BCD" w14:textId="77777777" w:rsidR="00C929BB" w:rsidRDefault="00C929BB" w:rsidP="007C383F">
      <w:pPr>
        <w:pStyle w:val="ListParagraph"/>
        <w:numPr>
          <w:ilvl w:val="1"/>
          <w:numId w:val="52"/>
        </w:numPr>
        <w:tabs>
          <w:tab w:val="left" w:pos="3060"/>
        </w:tabs>
      </w:pPr>
      <w:r>
        <w:lastRenderedPageBreak/>
        <w:t xml:space="preserve">If the information is inconsistent with their preferences, it is received with </w:t>
      </w:r>
      <w:proofErr w:type="spellStart"/>
      <w:r>
        <w:t>skepticism</w:t>
      </w:r>
      <w:proofErr w:type="spellEnd"/>
      <w:r>
        <w:t xml:space="preserve"> and the individual attempts to discredit it</w:t>
      </w:r>
    </w:p>
    <w:p w14:paraId="169D1AC1" w14:textId="77777777" w:rsidR="00C929BB" w:rsidRDefault="00C929BB" w:rsidP="007C383F">
      <w:pPr>
        <w:pStyle w:val="ListParagraph"/>
        <w:numPr>
          <w:ilvl w:val="1"/>
          <w:numId w:val="52"/>
        </w:numPr>
        <w:tabs>
          <w:tab w:val="left" w:pos="3060"/>
        </w:tabs>
      </w:pPr>
      <w:r>
        <w:t>This behaviour contrasts with that of decision theory, where the decision maker accepts objective probabilities of the information system – revising state probabilities accordingly regardless of whether it was good or bad news</w:t>
      </w:r>
    </w:p>
    <w:p w14:paraId="24182B71" w14:textId="77777777" w:rsidR="00EA69B8" w:rsidRDefault="00EA69B8" w:rsidP="00EA69B8">
      <w:pPr>
        <w:pStyle w:val="ListParagraph"/>
        <w:tabs>
          <w:tab w:val="left" w:pos="3060"/>
        </w:tabs>
        <w:ind w:left="1080"/>
      </w:pPr>
    </w:p>
    <w:tbl>
      <w:tblPr>
        <w:tblStyle w:val="TableGrid"/>
        <w:tblW w:w="0" w:type="auto"/>
        <w:tblInd w:w="360" w:type="dxa"/>
        <w:tblLook w:val="04A0" w:firstRow="1" w:lastRow="0" w:firstColumn="1" w:lastColumn="0" w:noHBand="0" w:noVBand="1"/>
      </w:tblPr>
      <w:tblGrid>
        <w:gridCol w:w="1684"/>
        <w:gridCol w:w="1745"/>
        <w:gridCol w:w="1778"/>
        <w:gridCol w:w="2215"/>
        <w:gridCol w:w="1794"/>
      </w:tblGrid>
      <w:tr w:rsidR="00EA69B8" w14:paraId="16E16548" w14:textId="77777777" w:rsidTr="00C1247A">
        <w:tc>
          <w:tcPr>
            <w:tcW w:w="1684" w:type="dxa"/>
          </w:tcPr>
          <w:p w14:paraId="4E4752E9" w14:textId="77777777" w:rsidR="00EA69B8" w:rsidRDefault="00EA69B8" w:rsidP="00EA69B8">
            <w:pPr>
              <w:pStyle w:val="ListParagraph"/>
              <w:tabs>
                <w:tab w:val="left" w:pos="3060"/>
              </w:tabs>
              <w:ind w:left="0"/>
            </w:pPr>
          </w:p>
        </w:tc>
        <w:tc>
          <w:tcPr>
            <w:tcW w:w="1745" w:type="dxa"/>
          </w:tcPr>
          <w:p w14:paraId="21448BB7" w14:textId="77777777" w:rsidR="00EA69B8" w:rsidRDefault="00EA69B8" w:rsidP="00EA69B8">
            <w:pPr>
              <w:pStyle w:val="ListParagraph"/>
              <w:tabs>
                <w:tab w:val="left" w:pos="3060"/>
              </w:tabs>
              <w:ind w:left="0"/>
            </w:pPr>
            <w:r>
              <w:t>LIMITED ATTENTION</w:t>
            </w:r>
          </w:p>
        </w:tc>
        <w:tc>
          <w:tcPr>
            <w:tcW w:w="1778" w:type="dxa"/>
          </w:tcPr>
          <w:p w14:paraId="5DB0A181" w14:textId="77777777" w:rsidR="00EA69B8" w:rsidRDefault="00EA69B8" w:rsidP="00EA69B8">
            <w:pPr>
              <w:pStyle w:val="ListParagraph"/>
              <w:tabs>
                <w:tab w:val="left" w:pos="3060"/>
              </w:tabs>
              <w:ind w:left="0"/>
            </w:pPr>
            <w:r>
              <w:t>OVER-CONFIDENCE</w:t>
            </w:r>
          </w:p>
        </w:tc>
        <w:tc>
          <w:tcPr>
            <w:tcW w:w="2215" w:type="dxa"/>
          </w:tcPr>
          <w:p w14:paraId="5C30AA47" w14:textId="77777777" w:rsidR="00EA69B8" w:rsidRDefault="00EA69B8" w:rsidP="00EA69B8">
            <w:pPr>
              <w:pStyle w:val="ListParagraph"/>
              <w:tabs>
                <w:tab w:val="left" w:pos="3060"/>
              </w:tabs>
              <w:ind w:left="0"/>
            </w:pPr>
            <w:r>
              <w:t>REPRESENTATIVENESS</w:t>
            </w:r>
          </w:p>
        </w:tc>
        <w:tc>
          <w:tcPr>
            <w:tcW w:w="1794" w:type="dxa"/>
          </w:tcPr>
          <w:p w14:paraId="52014C85" w14:textId="77777777" w:rsidR="00EA69B8" w:rsidRDefault="00EA69B8" w:rsidP="00EA69B8">
            <w:pPr>
              <w:pStyle w:val="ListParagraph"/>
              <w:tabs>
                <w:tab w:val="left" w:pos="3060"/>
              </w:tabs>
              <w:ind w:left="0"/>
            </w:pPr>
            <w:r>
              <w:t xml:space="preserve">SELF-ATTRIBUTION </w:t>
            </w:r>
          </w:p>
        </w:tc>
      </w:tr>
      <w:tr w:rsidR="00EA69B8" w14:paraId="283B5236" w14:textId="77777777" w:rsidTr="00C1247A">
        <w:tc>
          <w:tcPr>
            <w:tcW w:w="1684" w:type="dxa"/>
          </w:tcPr>
          <w:p w14:paraId="5FF74243" w14:textId="77777777" w:rsidR="00EA69B8" w:rsidRDefault="00EA69B8" w:rsidP="00EA69B8">
            <w:pPr>
              <w:pStyle w:val="ListParagraph"/>
              <w:tabs>
                <w:tab w:val="left" w:pos="3060"/>
              </w:tabs>
              <w:ind w:left="0"/>
            </w:pPr>
            <w:r>
              <w:t>Revision of Beliefs vs. Bayes’ Theorem</w:t>
            </w:r>
          </w:p>
        </w:tc>
        <w:tc>
          <w:tcPr>
            <w:tcW w:w="1745" w:type="dxa"/>
          </w:tcPr>
          <w:p w14:paraId="2BB5ECA4" w14:textId="77777777" w:rsidR="00EA69B8" w:rsidRDefault="00EA69B8" w:rsidP="00EA69B8">
            <w:pPr>
              <w:pStyle w:val="ListParagraph"/>
              <w:tabs>
                <w:tab w:val="left" w:pos="3060"/>
              </w:tabs>
              <w:ind w:left="0"/>
            </w:pPr>
            <w:r>
              <w:t>Revise beliefs by less than BT (under-react)</w:t>
            </w:r>
          </w:p>
        </w:tc>
        <w:tc>
          <w:tcPr>
            <w:tcW w:w="1778" w:type="dxa"/>
          </w:tcPr>
          <w:p w14:paraId="7D44236B" w14:textId="77777777" w:rsidR="00EA69B8" w:rsidRDefault="00EA69B8" w:rsidP="00EA69B8">
            <w:pPr>
              <w:pStyle w:val="ListParagraph"/>
              <w:tabs>
                <w:tab w:val="left" w:pos="3060"/>
              </w:tabs>
              <w:ind w:left="0"/>
            </w:pPr>
            <w:r>
              <w:t>Revise beliefs by less than BT (under-react)</w:t>
            </w:r>
          </w:p>
        </w:tc>
        <w:tc>
          <w:tcPr>
            <w:tcW w:w="2215" w:type="dxa"/>
          </w:tcPr>
          <w:p w14:paraId="3A0FC9E4" w14:textId="77777777" w:rsidR="00EA69B8" w:rsidRDefault="00C1247A" w:rsidP="00EA69B8">
            <w:pPr>
              <w:pStyle w:val="ListParagraph"/>
              <w:tabs>
                <w:tab w:val="left" w:pos="3060"/>
              </w:tabs>
              <w:ind w:left="0"/>
            </w:pPr>
            <w:r>
              <w:t xml:space="preserve">Revise beliefs by more than BT </w:t>
            </w:r>
            <w:r>
              <w:br/>
              <w:t>(over-react)</w:t>
            </w:r>
          </w:p>
        </w:tc>
        <w:tc>
          <w:tcPr>
            <w:tcW w:w="1794" w:type="dxa"/>
          </w:tcPr>
          <w:p w14:paraId="0AC0F9C9" w14:textId="77777777" w:rsidR="00EA69B8" w:rsidRDefault="00C1247A" w:rsidP="00EA69B8">
            <w:pPr>
              <w:pStyle w:val="ListParagraph"/>
              <w:tabs>
                <w:tab w:val="left" w:pos="3060"/>
              </w:tabs>
              <w:ind w:left="0"/>
            </w:pPr>
            <w:r>
              <w:t>Revise beliefs by less than BT (under-react)</w:t>
            </w:r>
          </w:p>
        </w:tc>
      </w:tr>
      <w:tr w:rsidR="00EA69B8" w14:paraId="5D4689BC" w14:textId="77777777" w:rsidTr="00C1247A">
        <w:tc>
          <w:tcPr>
            <w:tcW w:w="1684" w:type="dxa"/>
          </w:tcPr>
          <w:p w14:paraId="06CDB252" w14:textId="77777777" w:rsidR="00EA69B8" w:rsidRDefault="00C1247A" w:rsidP="00EA69B8">
            <w:pPr>
              <w:pStyle w:val="ListParagraph"/>
              <w:tabs>
                <w:tab w:val="left" w:pos="3060"/>
              </w:tabs>
              <w:ind w:left="0"/>
            </w:pPr>
            <w:r>
              <w:t>Effect on ERC</w:t>
            </w:r>
          </w:p>
        </w:tc>
        <w:tc>
          <w:tcPr>
            <w:tcW w:w="1745" w:type="dxa"/>
          </w:tcPr>
          <w:p w14:paraId="1C3E98F5" w14:textId="77777777" w:rsidR="00EA69B8" w:rsidRDefault="00C1247A" w:rsidP="00EA69B8">
            <w:pPr>
              <w:pStyle w:val="ListParagraph"/>
              <w:tabs>
                <w:tab w:val="left" w:pos="3060"/>
              </w:tabs>
              <w:ind w:left="0"/>
            </w:pPr>
            <w:r>
              <w:t>Lower ERC</w:t>
            </w:r>
          </w:p>
        </w:tc>
        <w:tc>
          <w:tcPr>
            <w:tcW w:w="1778" w:type="dxa"/>
          </w:tcPr>
          <w:p w14:paraId="287EA614" w14:textId="77777777" w:rsidR="00EA69B8" w:rsidRDefault="00C1247A" w:rsidP="00EA69B8">
            <w:pPr>
              <w:pStyle w:val="ListParagraph"/>
              <w:tabs>
                <w:tab w:val="left" w:pos="3060"/>
              </w:tabs>
              <w:ind w:left="0"/>
            </w:pPr>
            <w:r>
              <w:t>Lower ERC</w:t>
            </w:r>
          </w:p>
        </w:tc>
        <w:tc>
          <w:tcPr>
            <w:tcW w:w="2215" w:type="dxa"/>
          </w:tcPr>
          <w:p w14:paraId="1DB61426" w14:textId="77777777" w:rsidR="00EA69B8" w:rsidRDefault="00C1247A" w:rsidP="00EA69B8">
            <w:pPr>
              <w:pStyle w:val="ListParagraph"/>
              <w:tabs>
                <w:tab w:val="left" w:pos="3060"/>
              </w:tabs>
              <w:ind w:left="0"/>
            </w:pPr>
            <w:r>
              <w:t>Higher ERC</w:t>
            </w:r>
          </w:p>
        </w:tc>
        <w:tc>
          <w:tcPr>
            <w:tcW w:w="1794" w:type="dxa"/>
          </w:tcPr>
          <w:p w14:paraId="6D2FC933" w14:textId="77777777" w:rsidR="00EA69B8" w:rsidRDefault="00C1247A" w:rsidP="00EA69B8">
            <w:pPr>
              <w:pStyle w:val="ListParagraph"/>
              <w:tabs>
                <w:tab w:val="left" w:pos="3060"/>
              </w:tabs>
              <w:ind w:left="0"/>
            </w:pPr>
            <w:r>
              <w:t>Lower ERC</w:t>
            </w:r>
          </w:p>
        </w:tc>
      </w:tr>
    </w:tbl>
    <w:p w14:paraId="761ED3D3" w14:textId="77777777" w:rsidR="00C1247A" w:rsidRDefault="00C1247A" w:rsidP="00C929BB">
      <w:pPr>
        <w:tabs>
          <w:tab w:val="left" w:pos="3060"/>
        </w:tabs>
        <w:rPr>
          <w:b/>
        </w:rPr>
      </w:pPr>
    </w:p>
    <w:p w14:paraId="17B14063" w14:textId="77777777" w:rsidR="00C929BB" w:rsidRPr="00A500AE" w:rsidRDefault="00A500AE" w:rsidP="00C929BB">
      <w:pPr>
        <w:tabs>
          <w:tab w:val="left" w:pos="3060"/>
        </w:tabs>
        <w:rPr>
          <w:b/>
        </w:rPr>
      </w:pPr>
      <w:r w:rsidRPr="00A500AE">
        <w:rPr>
          <w:b/>
        </w:rPr>
        <w:t>6.2.2 Prospect Theory</w:t>
      </w:r>
    </w:p>
    <w:p w14:paraId="05FFDDD3" w14:textId="77777777" w:rsidR="00A500AE" w:rsidRDefault="00A500AE" w:rsidP="007C383F">
      <w:pPr>
        <w:pStyle w:val="ListParagraph"/>
        <w:numPr>
          <w:ilvl w:val="0"/>
          <w:numId w:val="52"/>
        </w:numPr>
        <w:tabs>
          <w:tab w:val="left" w:pos="3060"/>
        </w:tabs>
      </w:pPr>
      <w:r>
        <w:t>Prospect theory provides a behavioural-based alternative to the rational decision theory</w:t>
      </w:r>
    </w:p>
    <w:p w14:paraId="43EDA28C" w14:textId="77777777" w:rsidR="00A500AE" w:rsidRDefault="00A500AE" w:rsidP="007C383F">
      <w:pPr>
        <w:pStyle w:val="ListParagraph"/>
        <w:numPr>
          <w:ilvl w:val="0"/>
          <w:numId w:val="52"/>
        </w:numPr>
        <w:tabs>
          <w:tab w:val="left" w:pos="3060"/>
        </w:tabs>
      </w:pPr>
      <w:r>
        <w:t>An investor considering a risky investment will separately evaluate prospective gains and losses</w:t>
      </w:r>
    </w:p>
    <w:p w14:paraId="0E81A5DC" w14:textId="77777777" w:rsidR="00A500AE" w:rsidRDefault="00A500AE" w:rsidP="007C383F">
      <w:pPr>
        <w:pStyle w:val="ListParagraph"/>
        <w:numPr>
          <w:ilvl w:val="1"/>
          <w:numId w:val="52"/>
        </w:numPr>
        <w:tabs>
          <w:tab w:val="left" w:pos="3060"/>
        </w:tabs>
      </w:pPr>
      <w:r>
        <w:t>This separate evaluation contrasts with decision theory where it is argued that rational investors evaluate decisions in terms of their effects on their total wealth, or utility value</w:t>
      </w:r>
    </w:p>
    <w:p w14:paraId="1EC4A9F6" w14:textId="77777777" w:rsidR="00A500AE" w:rsidRDefault="00A500AE" w:rsidP="007C383F">
      <w:pPr>
        <w:pStyle w:val="ListParagraph"/>
        <w:numPr>
          <w:ilvl w:val="0"/>
          <w:numId w:val="52"/>
        </w:numPr>
        <w:tabs>
          <w:tab w:val="left" w:pos="3060"/>
        </w:tabs>
      </w:pPr>
      <w:r>
        <w:t>Narrow-Framing: individuals analyze problems in too isolated a manner, as a way of economizing on the mental effort to decision making – this may lead to limited attention where the information that is concentrated on is that which is readily available</w:t>
      </w:r>
    </w:p>
    <w:p w14:paraId="79B90F51" w14:textId="77777777" w:rsidR="00A500AE" w:rsidRDefault="00A500AE" w:rsidP="007C383F">
      <w:pPr>
        <w:pStyle w:val="ListParagraph"/>
        <w:numPr>
          <w:ilvl w:val="0"/>
          <w:numId w:val="52"/>
        </w:numPr>
        <w:tabs>
          <w:tab w:val="left" w:pos="3060"/>
        </w:tabs>
      </w:pPr>
      <w:r>
        <w:t xml:space="preserve">Prospect theory assumes loss aversion – a </w:t>
      </w:r>
      <w:proofErr w:type="spellStart"/>
      <w:r>
        <w:t>behavioral</w:t>
      </w:r>
      <w:proofErr w:type="spellEnd"/>
      <w:r>
        <w:t xml:space="preserve"> concept whereby individuals dislike even very small losses</w:t>
      </w:r>
    </w:p>
    <w:p w14:paraId="4B8D852B" w14:textId="77777777" w:rsidR="00A500AE" w:rsidRDefault="00A500AE" w:rsidP="007C383F">
      <w:pPr>
        <w:pStyle w:val="ListParagraph"/>
        <w:numPr>
          <w:ilvl w:val="1"/>
          <w:numId w:val="52"/>
        </w:numPr>
        <w:tabs>
          <w:tab w:val="left" w:pos="3060"/>
        </w:tabs>
      </w:pPr>
      <w:r>
        <w:t xml:space="preserve">Beginning at the point where the invest starts to lose value, the investor’s rate of utility loss is greater than the rate of the utility increase for a gain in value </w:t>
      </w:r>
    </w:p>
    <w:p w14:paraId="0F3AAE72" w14:textId="77777777" w:rsidR="00A500AE" w:rsidRDefault="00A500AE" w:rsidP="007C383F">
      <w:pPr>
        <w:pStyle w:val="ListParagraph"/>
        <w:numPr>
          <w:ilvl w:val="1"/>
          <w:numId w:val="52"/>
        </w:numPr>
        <w:tabs>
          <w:tab w:val="left" w:pos="3060"/>
        </w:tabs>
      </w:pPr>
      <w:r>
        <w:t xml:space="preserve">The investor exhibits </w:t>
      </w:r>
      <w:r w:rsidRPr="00A500AE">
        <w:rPr>
          <w:i/>
        </w:rPr>
        <w:t>risk-taking</w:t>
      </w:r>
      <w:r>
        <w:t xml:space="preserve"> behaviour with respect to losses and </w:t>
      </w:r>
      <w:r w:rsidRPr="00A500AE">
        <w:rPr>
          <w:i/>
        </w:rPr>
        <w:t>risk-aversion</w:t>
      </w:r>
      <w:r>
        <w:t xml:space="preserve"> with respect to gains </w:t>
      </w:r>
    </w:p>
    <w:p w14:paraId="59430D80" w14:textId="77777777" w:rsidR="00A500AE" w:rsidRDefault="00A500AE" w:rsidP="007C383F">
      <w:pPr>
        <w:pStyle w:val="ListParagraph"/>
        <w:numPr>
          <w:ilvl w:val="0"/>
          <w:numId w:val="52"/>
        </w:numPr>
        <w:tabs>
          <w:tab w:val="left" w:pos="3060"/>
        </w:tabs>
      </w:pPr>
      <w:r>
        <w:t>This leads to a disposition effect – whereby the investor holds on to losers and sells winners, and may even buy more of a loser security</w:t>
      </w:r>
    </w:p>
    <w:p w14:paraId="7C69C947" w14:textId="77777777" w:rsidR="00A500AE" w:rsidRDefault="00A500AE" w:rsidP="00A500AE">
      <w:pPr>
        <w:pStyle w:val="ListParagraph"/>
        <w:tabs>
          <w:tab w:val="left" w:pos="3060"/>
        </w:tabs>
        <w:ind w:left="360"/>
      </w:pPr>
    </w:p>
    <w:p w14:paraId="015BAA93" w14:textId="77777777" w:rsidR="00AC10F6" w:rsidRDefault="00A500AE" w:rsidP="00113C1C">
      <w:pPr>
        <w:pStyle w:val="ListParagraph"/>
        <w:tabs>
          <w:tab w:val="left" w:pos="3060"/>
        </w:tabs>
        <w:ind w:left="360"/>
      </w:pPr>
      <w:r>
        <w:rPr>
          <w:noProof/>
          <w:lang w:val="en-US"/>
        </w:rPr>
        <w:drawing>
          <wp:inline distT="0" distB="0" distL="0" distR="0" wp14:anchorId="2CFA2564" wp14:editId="13792800">
            <wp:extent cx="5572125" cy="1495425"/>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34AB6D98" w14:textId="77777777" w:rsidR="00113C1C" w:rsidRDefault="00113C1C" w:rsidP="007C383F">
      <w:pPr>
        <w:pStyle w:val="ListParagraph"/>
        <w:numPr>
          <w:ilvl w:val="0"/>
          <w:numId w:val="53"/>
        </w:numPr>
        <w:tabs>
          <w:tab w:val="left" w:pos="3060"/>
        </w:tabs>
      </w:pPr>
      <w:r>
        <w:t>Prospect theory also assumes that when calculated the expected value of a prospect, individuals tend over over/under weight their posterior state probabilities (i.e. their revised probabilities upon receiving new information) relative to that under Bayes’ Theorem</w:t>
      </w:r>
    </w:p>
    <w:p w14:paraId="2F982FCC" w14:textId="77777777" w:rsidR="00113C1C" w:rsidRDefault="00113C1C" w:rsidP="007C383F">
      <w:pPr>
        <w:pStyle w:val="ListParagraph"/>
        <w:numPr>
          <w:ilvl w:val="1"/>
          <w:numId w:val="53"/>
        </w:numPr>
        <w:tabs>
          <w:tab w:val="left" w:pos="3060"/>
        </w:tabs>
      </w:pPr>
      <w:r w:rsidRPr="007F2712">
        <w:rPr>
          <w:u w:val="single"/>
        </w:rPr>
        <w:lastRenderedPageBreak/>
        <w:t>Over-confidence</w:t>
      </w:r>
      <w:r>
        <w:t>: information not generated by the investor themselves will be underweighted relative to other evidence</w:t>
      </w:r>
    </w:p>
    <w:p w14:paraId="7C6E6056" w14:textId="77777777" w:rsidR="00113C1C" w:rsidRDefault="00113C1C" w:rsidP="007C383F">
      <w:pPr>
        <w:pStyle w:val="ListParagraph"/>
        <w:numPr>
          <w:ilvl w:val="1"/>
          <w:numId w:val="53"/>
        </w:numPr>
        <w:tabs>
          <w:tab w:val="left" w:pos="3060"/>
        </w:tabs>
      </w:pPr>
      <w:r w:rsidRPr="007F2712">
        <w:rPr>
          <w:u w:val="single"/>
        </w:rPr>
        <w:t>Representativeness</w:t>
      </w:r>
      <w:r>
        <w:t>: individuals tend to overweight current evidence that a stock’s value is about to take off, even though this is a rare event</w:t>
      </w:r>
    </w:p>
    <w:p w14:paraId="3172C6C8" w14:textId="77777777" w:rsidR="008667DE" w:rsidRDefault="008667DE" w:rsidP="007C383F">
      <w:pPr>
        <w:pStyle w:val="ListParagraph"/>
        <w:numPr>
          <w:ilvl w:val="1"/>
          <w:numId w:val="53"/>
        </w:numPr>
        <w:tabs>
          <w:tab w:val="left" w:pos="3060"/>
        </w:tabs>
      </w:pPr>
      <w:r w:rsidRPr="007F2712">
        <w:rPr>
          <w:u w:val="single"/>
        </w:rPr>
        <w:t>Fear of losses</w:t>
      </w:r>
      <w:r>
        <w:t>: -- can lead to irrational behaviour</w:t>
      </w:r>
    </w:p>
    <w:p w14:paraId="1B40A85F" w14:textId="77777777" w:rsidR="008667DE" w:rsidRDefault="008667DE" w:rsidP="007C383F">
      <w:pPr>
        <w:pStyle w:val="ListParagraph"/>
        <w:numPr>
          <w:ilvl w:val="2"/>
          <w:numId w:val="53"/>
        </w:numPr>
        <w:tabs>
          <w:tab w:val="left" w:pos="3060"/>
        </w:tabs>
      </w:pPr>
      <w:r>
        <w:t>May cause investors to stay out of the market and not consider prospects who have positive expected value according to a decision theory calculation</w:t>
      </w:r>
    </w:p>
    <w:p w14:paraId="1A880374" w14:textId="77777777" w:rsidR="008667DE" w:rsidRDefault="008667DE" w:rsidP="007C383F">
      <w:pPr>
        <w:pStyle w:val="ListParagraph"/>
        <w:numPr>
          <w:ilvl w:val="2"/>
          <w:numId w:val="53"/>
        </w:numPr>
        <w:tabs>
          <w:tab w:val="left" w:pos="3060"/>
        </w:tabs>
      </w:pPr>
      <w:r>
        <w:t>May hold on to losers with the fear of realizes a loss</w:t>
      </w:r>
    </w:p>
    <w:p w14:paraId="6EF942CB" w14:textId="77777777" w:rsidR="008667DE" w:rsidRDefault="008667DE" w:rsidP="007C383F">
      <w:pPr>
        <w:pStyle w:val="ListParagraph"/>
        <w:numPr>
          <w:ilvl w:val="0"/>
          <w:numId w:val="53"/>
        </w:numPr>
        <w:tabs>
          <w:tab w:val="left" w:pos="3060"/>
        </w:tabs>
      </w:pPr>
      <w:r>
        <w:t xml:space="preserve">Under Prospect Theory, investor </w:t>
      </w:r>
      <w:proofErr w:type="spellStart"/>
      <w:r>
        <w:t>behavior</w:t>
      </w:r>
      <w:proofErr w:type="spellEnd"/>
      <w:r>
        <w:t xml:space="preserve"> depends in a complex way on payoff probabilities hat may differ from those obtained by Bayes’ Theorem, risk aversion with respect to gains, and risk-taking with respect to losses</w:t>
      </w:r>
    </w:p>
    <w:p w14:paraId="6B8454CA" w14:textId="77777777" w:rsidR="008667DE" w:rsidRPr="009C560F" w:rsidRDefault="007F2712" w:rsidP="007F2712">
      <w:pPr>
        <w:tabs>
          <w:tab w:val="left" w:pos="3060"/>
        </w:tabs>
        <w:rPr>
          <w:b/>
        </w:rPr>
      </w:pPr>
      <w:r w:rsidRPr="009C560F">
        <w:rPr>
          <w:b/>
        </w:rPr>
        <w:t>6.2.3 Is Beta Dead?</w:t>
      </w:r>
    </w:p>
    <w:p w14:paraId="4EB5AAB7" w14:textId="77777777" w:rsidR="007F2712" w:rsidRDefault="007F2712" w:rsidP="007C383F">
      <w:pPr>
        <w:pStyle w:val="ListParagraph"/>
        <w:numPr>
          <w:ilvl w:val="0"/>
          <w:numId w:val="54"/>
        </w:numPr>
        <w:tabs>
          <w:tab w:val="left" w:pos="3060"/>
        </w:tabs>
      </w:pPr>
      <w:r>
        <w:t xml:space="preserve">In a study by </w:t>
      </w:r>
      <w:proofErr w:type="spellStart"/>
      <w:r>
        <w:t>Fama</w:t>
      </w:r>
      <w:proofErr w:type="spellEnd"/>
      <w:r>
        <w:t xml:space="preserve"> and French – they found that beta, and thus the CAPM, had little ability to explain stock returns</w:t>
      </w:r>
    </w:p>
    <w:p w14:paraId="2A630686" w14:textId="77777777" w:rsidR="009C560F" w:rsidRDefault="009C560F" w:rsidP="007C383F">
      <w:pPr>
        <w:pStyle w:val="ListParagraph"/>
        <w:numPr>
          <w:ilvl w:val="0"/>
          <w:numId w:val="54"/>
        </w:numPr>
        <w:tabs>
          <w:tab w:val="left" w:pos="3060"/>
        </w:tabs>
      </w:pPr>
      <w:r>
        <w:t xml:space="preserve">The argue that investors purchase shares in low B/M firms to protect themselves against </w:t>
      </w:r>
      <w:proofErr w:type="spellStart"/>
      <w:r>
        <w:t>undiversifiable</w:t>
      </w:r>
      <w:proofErr w:type="spellEnd"/>
      <w:r>
        <w:t xml:space="preserve"> risk</w:t>
      </w:r>
    </w:p>
    <w:p w14:paraId="33FE0691" w14:textId="77777777" w:rsidR="007F2712" w:rsidRDefault="007F2712" w:rsidP="007C383F">
      <w:pPr>
        <w:pStyle w:val="ListParagraph"/>
        <w:numPr>
          <w:ilvl w:val="0"/>
          <w:numId w:val="54"/>
        </w:numPr>
        <w:tabs>
          <w:tab w:val="left" w:pos="3060"/>
        </w:tabs>
      </w:pPr>
      <w:r>
        <w:t>Their results suggest that rather than looking to beta as a risk measure, the market acts as if firm risk increases with book –to-market and decreases with firm size</w:t>
      </w:r>
    </w:p>
    <w:p w14:paraId="334EB1E2" w14:textId="77777777" w:rsidR="007F2712" w:rsidRDefault="007F2712" w:rsidP="007C383F">
      <w:pPr>
        <w:pStyle w:val="ListParagraph"/>
        <w:numPr>
          <w:ilvl w:val="1"/>
          <w:numId w:val="54"/>
        </w:numPr>
        <w:tabs>
          <w:tab w:val="left" w:pos="3060"/>
        </w:tabs>
      </w:pPr>
      <w:r>
        <w:t>High B/M Ratio = high risk</w:t>
      </w:r>
    </w:p>
    <w:p w14:paraId="6D0AF055" w14:textId="77777777" w:rsidR="00942DC9" w:rsidRDefault="00942DC9" w:rsidP="007C383F">
      <w:pPr>
        <w:pStyle w:val="ListParagraph"/>
        <w:numPr>
          <w:ilvl w:val="1"/>
          <w:numId w:val="54"/>
        </w:numPr>
        <w:tabs>
          <w:tab w:val="left" w:pos="3060"/>
        </w:tabs>
      </w:pPr>
      <w:r>
        <w:t>Larger firms = lower risk</w:t>
      </w:r>
    </w:p>
    <w:p w14:paraId="57B2E6C9" w14:textId="77777777" w:rsidR="007F2712" w:rsidRDefault="007F2712" w:rsidP="007C383F">
      <w:pPr>
        <w:pStyle w:val="ListParagraph"/>
        <w:numPr>
          <w:ilvl w:val="0"/>
          <w:numId w:val="54"/>
        </w:numPr>
        <w:tabs>
          <w:tab w:val="left" w:pos="3060"/>
        </w:tabs>
      </w:pPr>
      <w:r>
        <w:t xml:space="preserve">The </w:t>
      </w:r>
      <w:proofErr w:type="spellStart"/>
      <w:r>
        <w:t>Fama</w:t>
      </w:r>
      <w:proofErr w:type="spellEnd"/>
      <w:r>
        <w:t xml:space="preserve"> and French results do threaten the CAPM, since they imply that beta is not an important risk measure</w:t>
      </w:r>
    </w:p>
    <w:p w14:paraId="054C9B3E" w14:textId="77777777" w:rsidR="007F2712" w:rsidRDefault="007F2712" w:rsidP="007C383F">
      <w:pPr>
        <w:pStyle w:val="ListParagraph"/>
        <w:numPr>
          <w:ilvl w:val="0"/>
          <w:numId w:val="54"/>
        </w:numPr>
        <w:tabs>
          <w:tab w:val="left" w:pos="3060"/>
        </w:tabs>
      </w:pPr>
      <w:r>
        <w:t xml:space="preserve">Daniel, </w:t>
      </w:r>
      <w:proofErr w:type="spellStart"/>
      <w:r>
        <w:t>Hirshleifer</w:t>
      </w:r>
      <w:proofErr w:type="spellEnd"/>
      <w:r>
        <w:t xml:space="preserve"> and </w:t>
      </w:r>
      <w:proofErr w:type="spellStart"/>
      <w:r>
        <w:t>Subrahmanyam</w:t>
      </w:r>
      <w:proofErr w:type="spellEnd"/>
      <w:r>
        <w:t xml:space="preserve"> argue that there are 2 types of investors: rational and overconfident</w:t>
      </w:r>
    </w:p>
    <w:p w14:paraId="66EC546A" w14:textId="77777777" w:rsidR="007F2712" w:rsidRDefault="007F2712" w:rsidP="007C383F">
      <w:pPr>
        <w:pStyle w:val="ListParagraph"/>
        <w:numPr>
          <w:ilvl w:val="1"/>
          <w:numId w:val="54"/>
        </w:numPr>
        <w:tabs>
          <w:tab w:val="left" w:pos="3060"/>
        </w:tabs>
      </w:pPr>
      <w:r>
        <w:t>Overconfident investors overreact to self-collected information and drive share price too high or too low, thus driving the firm’s book-to-market ration too high or too low</w:t>
      </w:r>
    </w:p>
    <w:p w14:paraId="136F5DDF" w14:textId="77777777" w:rsidR="007F2712" w:rsidRDefault="007F2712" w:rsidP="007C383F">
      <w:pPr>
        <w:pStyle w:val="ListParagraph"/>
        <w:numPr>
          <w:ilvl w:val="2"/>
          <w:numId w:val="54"/>
        </w:numPr>
        <w:tabs>
          <w:tab w:val="left" w:pos="3060"/>
        </w:tabs>
      </w:pPr>
      <w:r>
        <w:t>As a result, both beta and book-to-market ratio are positive related to future share returns</w:t>
      </w:r>
    </w:p>
    <w:p w14:paraId="3270F50D" w14:textId="77777777" w:rsidR="007F2712" w:rsidRDefault="007F2712" w:rsidP="007C383F">
      <w:pPr>
        <w:pStyle w:val="ListParagraph"/>
        <w:numPr>
          <w:ilvl w:val="1"/>
          <w:numId w:val="54"/>
        </w:numPr>
        <w:tabs>
          <w:tab w:val="left" w:pos="3060"/>
        </w:tabs>
      </w:pPr>
      <w:r>
        <w:t xml:space="preserve">They conclude that the book-to-market relation to future share returns found by </w:t>
      </w:r>
      <w:proofErr w:type="spellStart"/>
      <w:r>
        <w:t>Fama</w:t>
      </w:r>
      <w:proofErr w:type="spellEnd"/>
      <w:r>
        <w:t xml:space="preserve"> and French is not driven by rational investors protecting themselves against financial distress</w:t>
      </w:r>
      <w:r w:rsidR="009C560F">
        <w:t xml:space="preserve">, but rather by overconfident investors – a </w:t>
      </w:r>
      <w:proofErr w:type="spellStart"/>
      <w:r w:rsidR="009C560F">
        <w:t>behavioral</w:t>
      </w:r>
      <w:proofErr w:type="spellEnd"/>
      <w:r w:rsidR="009C560F">
        <w:t xml:space="preserve"> effect inconsistent with rationality and efficiency</w:t>
      </w:r>
    </w:p>
    <w:p w14:paraId="3275C0AD" w14:textId="77777777" w:rsidR="009C560F" w:rsidRDefault="009C560F" w:rsidP="007C383F">
      <w:pPr>
        <w:pStyle w:val="ListParagraph"/>
        <w:numPr>
          <w:ilvl w:val="0"/>
          <w:numId w:val="54"/>
        </w:numPr>
        <w:tabs>
          <w:tab w:val="left" w:pos="3060"/>
        </w:tabs>
      </w:pPr>
      <w:r>
        <w:t>Conclusion that beta is not dead; it may change over time and is not stationary. For accounting to be most useful, beta as a risk measure should be used in conjunction with other accounting-based variables (i.e. book-to-market ratio)</w:t>
      </w:r>
    </w:p>
    <w:p w14:paraId="6A6D753A" w14:textId="77777777" w:rsidR="009C560F" w:rsidRPr="00942DC9" w:rsidRDefault="004F2665" w:rsidP="009C560F">
      <w:pPr>
        <w:tabs>
          <w:tab w:val="left" w:pos="3060"/>
        </w:tabs>
        <w:rPr>
          <w:b/>
        </w:rPr>
      </w:pPr>
      <w:r w:rsidRPr="00942DC9">
        <w:rPr>
          <w:b/>
        </w:rPr>
        <w:t>6.2.6 Efficient Securities Market Anomalies</w:t>
      </w:r>
    </w:p>
    <w:p w14:paraId="04371DBF" w14:textId="77777777" w:rsidR="004F2665" w:rsidRDefault="004F2665" w:rsidP="007C383F">
      <w:pPr>
        <w:pStyle w:val="ListParagraph"/>
        <w:numPr>
          <w:ilvl w:val="0"/>
          <w:numId w:val="55"/>
        </w:numPr>
        <w:tabs>
          <w:tab w:val="left" w:pos="3060"/>
        </w:tabs>
      </w:pPr>
      <w:r>
        <w:t>The information approach to decision usefulness assumes efficiency and rational investor behaviour</w:t>
      </w:r>
    </w:p>
    <w:p w14:paraId="517CDC89" w14:textId="77777777" w:rsidR="004F2665" w:rsidRDefault="00FB160E" w:rsidP="007C383F">
      <w:pPr>
        <w:pStyle w:val="ListParagraph"/>
        <w:numPr>
          <w:ilvl w:val="0"/>
          <w:numId w:val="55"/>
        </w:numPr>
        <w:tabs>
          <w:tab w:val="left" w:pos="3060"/>
        </w:tabs>
      </w:pPr>
      <w:r>
        <w:t>However, there is other evidence that suggests that the market may not respond to accounting information exactly as the efficiency theory predicts</w:t>
      </w:r>
    </w:p>
    <w:p w14:paraId="3E255DCB" w14:textId="77777777" w:rsidR="00FB160E" w:rsidRDefault="00FB160E" w:rsidP="007C383F">
      <w:pPr>
        <w:pStyle w:val="ListParagraph"/>
        <w:numPr>
          <w:ilvl w:val="1"/>
          <w:numId w:val="55"/>
        </w:numPr>
        <w:tabs>
          <w:tab w:val="left" w:pos="3060"/>
        </w:tabs>
      </w:pPr>
      <w:r>
        <w:lastRenderedPageBreak/>
        <w:t>Share prices may not fully react to financial statement information right away, so abnormal security returns persist for some time following the release of the information (BB study, wide window)</w:t>
      </w:r>
    </w:p>
    <w:p w14:paraId="3A8C0F69" w14:textId="77777777" w:rsidR="00FB160E" w:rsidRDefault="00FB160E" w:rsidP="00FB160E">
      <w:pPr>
        <w:tabs>
          <w:tab w:val="left" w:pos="3060"/>
        </w:tabs>
      </w:pPr>
      <w:r w:rsidRPr="00942DC9">
        <w:rPr>
          <w:highlight w:val="yellow"/>
        </w:rPr>
        <w:t>1. Post-Announcement Drift</w:t>
      </w:r>
    </w:p>
    <w:p w14:paraId="2A3800BE" w14:textId="77777777" w:rsidR="00FB160E" w:rsidRDefault="00FB160E" w:rsidP="007C383F">
      <w:pPr>
        <w:pStyle w:val="ListParagraph"/>
        <w:numPr>
          <w:ilvl w:val="0"/>
          <w:numId w:val="56"/>
        </w:numPr>
        <w:tabs>
          <w:tab w:val="left" w:pos="3060"/>
        </w:tabs>
      </w:pPr>
      <w:r>
        <w:t>For firms that report GN in quarterly earnings, their abnormal security returns tend to drift upwards for some time following their earnings announcement – same for BN</w:t>
      </w:r>
    </w:p>
    <w:p w14:paraId="41814B72" w14:textId="77777777" w:rsidR="00FB160E" w:rsidRDefault="00FB160E" w:rsidP="007C383F">
      <w:pPr>
        <w:pStyle w:val="ListParagraph"/>
        <w:numPr>
          <w:ilvl w:val="0"/>
          <w:numId w:val="56"/>
        </w:numPr>
        <w:tabs>
          <w:tab w:val="left" w:pos="3060"/>
        </w:tabs>
      </w:pPr>
      <w:r>
        <w:t>This behaviour can be seen in the Ball and Brown study</w:t>
      </w:r>
    </w:p>
    <w:p w14:paraId="183826C3" w14:textId="77777777" w:rsidR="00FB160E" w:rsidRDefault="00FB160E" w:rsidP="007C383F">
      <w:pPr>
        <w:pStyle w:val="ListParagraph"/>
        <w:numPr>
          <w:ilvl w:val="0"/>
          <w:numId w:val="56"/>
        </w:numPr>
        <w:tabs>
          <w:tab w:val="left" w:pos="3060"/>
        </w:tabs>
      </w:pPr>
      <w:r w:rsidRPr="00942DC9">
        <w:rPr>
          <w:b/>
        </w:rPr>
        <w:t xml:space="preserve">Quarterly Seasonal Earnings Changes </w:t>
      </w:r>
      <w:r>
        <w:t>– the assumption that investors’ expectations of current quarterly earnings are based on those of the same quarter of the previous year</w:t>
      </w:r>
    </w:p>
    <w:p w14:paraId="3D33D238" w14:textId="77777777" w:rsidR="00FB160E" w:rsidRDefault="00FB160E" w:rsidP="007C383F">
      <w:pPr>
        <w:pStyle w:val="ListParagraph"/>
        <w:numPr>
          <w:ilvl w:val="0"/>
          <w:numId w:val="56"/>
        </w:numPr>
        <w:tabs>
          <w:tab w:val="left" w:pos="3060"/>
        </w:tabs>
      </w:pPr>
      <w:r>
        <w:t>PAD (Post Announcement Drift) is the tendency for stocks to earn abnormally high returns in the three quarters following a positive earnings announcement, and to earn abnormally low returns for a similar period following a negative earnings announcement.</w:t>
      </w:r>
    </w:p>
    <w:p w14:paraId="08147DD9" w14:textId="77777777" w:rsidR="00FB160E" w:rsidRDefault="00942DC9" w:rsidP="00942DC9">
      <w:pPr>
        <w:tabs>
          <w:tab w:val="left" w:pos="3060"/>
        </w:tabs>
      </w:pPr>
      <w:r w:rsidRPr="00942DC9">
        <w:rPr>
          <w:highlight w:val="yellow"/>
        </w:rPr>
        <w:t>2. Market Response to Accruals</w:t>
      </w:r>
    </w:p>
    <w:p w14:paraId="152C9699" w14:textId="77777777" w:rsidR="00942DC9" w:rsidRDefault="00942DC9" w:rsidP="007C383F">
      <w:pPr>
        <w:pStyle w:val="ListParagraph"/>
        <w:numPr>
          <w:ilvl w:val="0"/>
          <w:numId w:val="58"/>
        </w:numPr>
        <w:tabs>
          <w:tab w:val="left" w:pos="3060"/>
        </w:tabs>
      </w:pPr>
      <w:r>
        <w:t>Recall; Net Income = Cash flow from operations +/- Net Accruals</w:t>
      </w:r>
    </w:p>
    <w:p w14:paraId="6A9A17DD" w14:textId="77777777" w:rsidR="00942DC9" w:rsidRDefault="00942DC9" w:rsidP="007C383F">
      <w:pPr>
        <w:pStyle w:val="ListParagraph"/>
        <w:numPr>
          <w:ilvl w:val="0"/>
          <w:numId w:val="58"/>
        </w:numPr>
        <w:tabs>
          <w:tab w:val="left" w:pos="3060"/>
        </w:tabs>
      </w:pPr>
      <w:r>
        <w:t xml:space="preserve">Sloan pointed out that accruals are more subject to errors of estimation and possible manager bias than cash flows, and argued that this lower reliability should reduce the association between current accruals and next period’s income </w:t>
      </w:r>
    </w:p>
    <w:p w14:paraId="3492608A" w14:textId="77777777" w:rsidR="00942DC9" w:rsidRDefault="00942DC9" w:rsidP="007C383F">
      <w:pPr>
        <w:pStyle w:val="ListParagraph"/>
        <w:numPr>
          <w:ilvl w:val="0"/>
          <w:numId w:val="58"/>
        </w:numPr>
        <w:tabs>
          <w:tab w:val="left" w:pos="3060"/>
        </w:tabs>
      </w:pPr>
      <w:r>
        <w:t>Since accruals are less reliable than cash flows, the GN or BN they contain in the current period is less likely to continue into the next period than is GN/BN from cash flows</w:t>
      </w:r>
    </w:p>
    <w:p w14:paraId="6E8E4D25" w14:textId="77777777" w:rsidR="00942DC9" w:rsidRDefault="00942DC9" w:rsidP="007C383F">
      <w:pPr>
        <w:pStyle w:val="ListParagraph"/>
        <w:numPr>
          <w:ilvl w:val="0"/>
          <w:numId w:val="58"/>
        </w:numPr>
        <w:tabs>
          <w:tab w:val="left" w:pos="3060"/>
        </w:tabs>
      </w:pPr>
      <w:r>
        <w:t>Sloan argues that the cash flow component of earnings is more persistent than the accrual component</w:t>
      </w:r>
    </w:p>
    <w:p w14:paraId="64327B6D" w14:textId="77777777" w:rsidR="00942DC9" w:rsidRDefault="00942DC9" w:rsidP="007C383F">
      <w:pPr>
        <w:pStyle w:val="ListParagraph"/>
        <w:numPr>
          <w:ilvl w:val="0"/>
          <w:numId w:val="58"/>
        </w:numPr>
        <w:tabs>
          <w:tab w:val="left" w:pos="3060"/>
        </w:tabs>
      </w:pPr>
      <w:r>
        <w:t>If this is the case, we would expect an efficient market to respond more strongly to the GN/BN in earnings the greater is the cash flow component relative to the accrual component</w:t>
      </w:r>
    </w:p>
    <w:p w14:paraId="7FB5EF84" w14:textId="77777777" w:rsidR="00942DC9" w:rsidRDefault="00942DC9" w:rsidP="007C383F">
      <w:pPr>
        <w:pStyle w:val="ListParagraph"/>
        <w:numPr>
          <w:ilvl w:val="1"/>
          <w:numId w:val="58"/>
        </w:numPr>
        <w:tabs>
          <w:tab w:val="left" w:pos="3060"/>
        </w:tabs>
      </w:pPr>
      <w:r>
        <w:t>ERC should be higher the greater the cash flow component relative to accruals</w:t>
      </w:r>
    </w:p>
    <w:p w14:paraId="01B2A2E1" w14:textId="77777777" w:rsidR="00942DC9" w:rsidRDefault="00942DC9" w:rsidP="007C383F">
      <w:pPr>
        <w:pStyle w:val="ListParagraph"/>
        <w:numPr>
          <w:ilvl w:val="0"/>
          <w:numId w:val="58"/>
        </w:numPr>
        <w:tabs>
          <w:tab w:val="left" w:pos="3060"/>
        </w:tabs>
      </w:pPr>
      <w:r>
        <w:t>Sloan’s results suggest that this does not happen;</w:t>
      </w:r>
    </w:p>
    <w:p w14:paraId="3D1F3208" w14:textId="77777777" w:rsidR="00942DC9" w:rsidRDefault="00942DC9" w:rsidP="007C383F">
      <w:pPr>
        <w:pStyle w:val="ListParagraph"/>
        <w:numPr>
          <w:ilvl w:val="1"/>
          <w:numId w:val="58"/>
        </w:numPr>
        <w:tabs>
          <w:tab w:val="left" w:pos="3060"/>
        </w:tabs>
      </w:pPr>
      <w:r>
        <w:t>The market does not seem to fine-tune its response to take into account the cash flow and accruals composition of those earnings</w:t>
      </w:r>
    </w:p>
    <w:p w14:paraId="70CF41C2" w14:textId="77777777" w:rsidR="00942DC9" w:rsidRDefault="00942DC9" w:rsidP="007C383F">
      <w:pPr>
        <w:pStyle w:val="ListParagraph"/>
        <w:numPr>
          <w:ilvl w:val="1"/>
          <w:numId w:val="58"/>
        </w:numPr>
        <w:tabs>
          <w:tab w:val="left" w:pos="3060"/>
        </w:tabs>
      </w:pPr>
      <w:r>
        <w:t>Share returns of high-positive accrual firms tended to drift downwards over time rather than falling right away</w:t>
      </w:r>
    </w:p>
    <w:p w14:paraId="5A1AB30D" w14:textId="77777777" w:rsidR="00942DC9" w:rsidRDefault="00942DC9" w:rsidP="007C383F">
      <w:pPr>
        <w:pStyle w:val="ListParagraph"/>
        <w:numPr>
          <w:ilvl w:val="1"/>
          <w:numId w:val="58"/>
        </w:numPr>
        <w:tabs>
          <w:tab w:val="left" w:pos="3060"/>
        </w:tabs>
      </w:pPr>
      <w:r>
        <w:t>* This happens because investors fail to realize the low earnings persistence of accruals</w:t>
      </w:r>
    </w:p>
    <w:p w14:paraId="4D53D210" w14:textId="77777777" w:rsidR="002F3041" w:rsidRPr="00C1247A" w:rsidRDefault="002F3041" w:rsidP="002F3041">
      <w:pPr>
        <w:tabs>
          <w:tab w:val="left" w:pos="3060"/>
        </w:tabs>
        <w:rPr>
          <w:b/>
        </w:rPr>
      </w:pPr>
      <w:r w:rsidRPr="00C1247A">
        <w:rPr>
          <w:b/>
        </w:rPr>
        <w:t>6.2.7 Implications of Securities Market Inefficiency for Financial Reporting</w:t>
      </w:r>
    </w:p>
    <w:p w14:paraId="23AE8F93" w14:textId="77777777" w:rsidR="002F3041" w:rsidRDefault="002F3041" w:rsidP="007C383F">
      <w:pPr>
        <w:pStyle w:val="ListParagraph"/>
        <w:numPr>
          <w:ilvl w:val="0"/>
          <w:numId w:val="59"/>
        </w:numPr>
        <w:tabs>
          <w:tab w:val="left" w:pos="3060"/>
        </w:tabs>
      </w:pPr>
      <w:r>
        <w:t>We will now include noise traders to include investors subject to the behavioural biases outlined above</w:t>
      </w:r>
    </w:p>
    <w:p w14:paraId="7AC6B31F" w14:textId="77777777" w:rsidR="002F3041" w:rsidRDefault="002F3041" w:rsidP="007C383F">
      <w:pPr>
        <w:pStyle w:val="ListParagraph"/>
        <w:numPr>
          <w:ilvl w:val="0"/>
          <w:numId w:val="59"/>
        </w:numPr>
        <w:tabs>
          <w:tab w:val="left" w:pos="3060"/>
        </w:tabs>
      </w:pPr>
      <w:r>
        <w:t xml:space="preserve">In the presence of noise traders, shares become mispriced relative to the prices they would have if markets were fully efficient. Over time, investors and analysts become aware of the mispriced securities and take advantage of it, driving share price back to its fundamental value. </w:t>
      </w:r>
    </w:p>
    <w:p w14:paraId="33D2995C" w14:textId="77777777" w:rsidR="002F3041" w:rsidRDefault="002F3041" w:rsidP="007C383F">
      <w:pPr>
        <w:pStyle w:val="ListParagraph"/>
        <w:numPr>
          <w:ilvl w:val="0"/>
          <w:numId w:val="59"/>
        </w:numPr>
        <w:tabs>
          <w:tab w:val="left" w:pos="3060"/>
        </w:tabs>
      </w:pPr>
      <w:r>
        <w:t>In the anomaly studies, share price was driven back to its fundamental value over time instead of right away</w:t>
      </w:r>
    </w:p>
    <w:p w14:paraId="315223E2" w14:textId="77777777" w:rsidR="002F3041" w:rsidRDefault="002F3041" w:rsidP="007C383F">
      <w:pPr>
        <w:pStyle w:val="ListParagraph"/>
        <w:numPr>
          <w:ilvl w:val="1"/>
          <w:numId w:val="59"/>
        </w:numPr>
        <w:tabs>
          <w:tab w:val="left" w:pos="3060"/>
        </w:tabs>
      </w:pPr>
      <w:r>
        <w:lastRenderedPageBreak/>
        <w:t>Share returns drifted up or down following the reporting of accounting information as its full information content became apparent over time</w:t>
      </w:r>
    </w:p>
    <w:p w14:paraId="37375730" w14:textId="77777777" w:rsidR="002F3041" w:rsidRDefault="002F3041" w:rsidP="007C383F">
      <w:pPr>
        <w:pStyle w:val="ListParagraph"/>
        <w:numPr>
          <w:ilvl w:val="0"/>
          <w:numId w:val="59"/>
        </w:numPr>
        <w:tabs>
          <w:tab w:val="left" w:pos="3060"/>
        </w:tabs>
      </w:pPr>
      <w:r w:rsidRPr="00EA69B8">
        <w:rPr>
          <w:b/>
        </w:rPr>
        <w:t>Solution</w:t>
      </w:r>
      <w:r>
        <w:t>: Improved financial reporting; providing more useful information to investors will speed up share price response to the full information content of financial information</w:t>
      </w:r>
    </w:p>
    <w:p w14:paraId="6118AE38" w14:textId="77777777" w:rsidR="00EA69B8" w:rsidRDefault="00EA69B8" w:rsidP="007C383F">
      <w:pPr>
        <w:pStyle w:val="ListParagraph"/>
        <w:numPr>
          <w:ilvl w:val="1"/>
          <w:numId w:val="59"/>
        </w:numPr>
        <w:tabs>
          <w:tab w:val="left" w:pos="3060"/>
        </w:tabs>
      </w:pPr>
      <w:r>
        <w:t>Full disclosure of low-persistence earnings</w:t>
      </w:r>
    </w:p>
    <w:p w14:paraId="0AE075C3" w14:textId="77777777" w:rsidR="00EA69B8" w:rsidRDefault="00EA69B8" w:rsidP="007C383F">
      <w:pPr>
        <w:pStyle w:val="ListParagraph"/>
        <w:numPr>
          <w:ilvl w:val="1"/>
          <w:numId w:val="59"/>
        </w:numPr>
        <w:tabs>
          <w:tab w:val="left" w:pos="3060"/>
        </w:tabs>
      </w:pPr>
      <w:r>
        <w:t>High quality MD&amp;A</w:t>
      </w:r>
    </w:p>
    <w:p w14:paraId="60125E07" w14:textId="77777777" w:rsidR="00EA69B8" w:rsidRDefault="00EA69B8" w:rsidP="007C383F">
      <w:pPr>
        <w:pStyle w:val="ListParagraph"/>
        <w:numPr>
          <w:ilvl w:val="1"/>
          <w:numId w:val="59"/>
        </w:numPr>
        <w:tabs>
          <w:tab w:val="left" w:pos="3060"/>
        </w:tabs>
      </w:pPr>
      <w:r>
        <w:t>Measurement approach to financial reporting</w:t>
      </w:r>
    </w:p>
    <w:p w14:paraId="3BAE287B" w14:textId="77777777" w:rsidR="00EA69B8" w:rsidRDefault="00EA69B8" w:rsidP="007C383F">
      <w:pPr>
        <w:pStyle w:val="ListParagraph"/>
        <w:numPr>
          <w:ilvl w:val="0"/>
          <w:numId w:val="59"/>
        </w:numPr>
        <w:tabs>
          <w:tab w:val="left" w:pos="3060"/>
        </w:tabs>
        <w:rPr>
          <w:highlight w:val="yellow"/>
        </w:rPr>
      </w:pPr>
      <w:r w:rsidRPr="00EA69B8">
        <w:rPr>
          <w:highlight w:val="yellow"/>
        </w:rPr>
        <w:t>This creates a second role of financial reporting: to reduce inefficiencies in the market caused by noise traders by providing useful information that will reduce inefficient market prices</w:t>
      </w:r>
    </w:p>
    <w:p w14:paraId="2353CCC7" w14:textId="77777777" w:rsidR="00EA69B8" w:rsidRPr="00822B94" w:rsidRDefault="00EA69B8" w:rsidP="00EA69B8">
      <w:pPr>
        <w:tabs>
          <w:tab w:val="left" w:pos="3060"/>
        </w:tabs>
        <w:rPr>
          <w:b/>
        </w:rPr>
      </w:pPr>
      <w:r w:rsidRPr="00822B94">
        <w:rPr>
          <w:b/>
        </w:rPr>
        <w:t>6.2.</w:t>
      </w:r>
      <w:r w:rsidR="00C1247A" w:rsidRPr="00822B94">
        <w:rPr>
          <w:b/>
        </w:rPr>
        <w:t>9 Limits to Arbitrage</w:t>
      </w:r>
    </w:p>
    <w:p w14:paraId="60E3BCD1" w14:textId="77777777" w:rsidR="00EA69B8" w:rsidRDefault="00C1247A" w:rsidP="007C383F">
      <w:pPr>
        <w:pStyle w:val="ListParagraph"/>
        <w:numPr>
          <w:ilvl w:val="0"/>
          <w:numId w:val="60"/>
        </w:numPr>
        <w:tabs>
          <w:tab w:val="left" w:pos="3060"/>
        </w:tabs>
      </w:pPr>
      <w:r>
        <w:t>Limits to arbitrage constrain the arbitrage investor’s ability to exploit anomalies</w:t>
      </w:r>
    </w:p>
    <w:p w14:paraId="1BCF858E" w14:textId="77777777" w:rsidR="00C1247A" w:rsidRDefault="00822B94" w:rsidP="007C383F">
      <w:pPr>
        <w:pStyle w:val="ListParagraph"/>
        <w:numPr>
          <w:ilvl w:val="0"/>
          <w:numId w:val="60"/>
        </w:numPr>
        <w:tabs>
          <w:tab w:val="left" w:pos="3060"/>
        </w:tabs>
      </w:pPr>
      <w:r w:rsidRPr="00822B94">
        <w:rPr>
          <w:u w:val="single"/>
        </w:rPr>
        <w:t xml:space="preserve">1. </w:t>
      </w:r>
      <w:r w:rsidR="00C1247A" w:rsidRPr="00822B94">
        <w:rPr>
          <w:u w:val="single"/>
        </w:rPr>
        <w:t>Transaction Costs</w:t>
      </w:r>
      <w:r w:rsidR="00C1247A">
        <w:t xml:space="preserve">: investment strategies required to earn arbitrage profits are costly; </w:t>
      </w:r>
    </w:p>
    <w:p w14:paraId="03435415" w14:textId="77777777" w:rsidR="00C1247A" w:rsidRDefault="00C1247A" w:rsidP="007C383F">
      <w:pPr>
        <w:pStyle w:val="ListParagraph"/>
        <w:numPr>
          <w:ilvl w:val="1"/>
          <w:numId w:val="60"/>
        </w:numPr>
        <w:tabs>
          <w:tab w:val="left" w:pos="3060"/>
        </w:tabs>
      </w:pPr>
      <w:r>
        <w:t>Brokerage commissions</w:t>
      </w:r>
    </w:p>
    <w:p w14:paraId="48FD65A5" w14:textId="77777777" w:rsidR="00C1247A" w:rsidRDefault="00C1247A" w:rsidP="007C383F">
      <w:pPr>
        <w:pStyle w:val="ListParagraph"/>
        <w:numPr>
          <w:ilvl w:val="1"/>
          <w:numId w:val="60"/>
        </w:numPr>
        <w:tabs>
          <w:tab w:val="left" w:pos="3060"/>
        </w:tabs>
      </w:pPr>
      <w:r>
        <w:t>Bid-ask spread</w:t>
      </w:r>
    </w:p>
    <w:p w14:paraId="3C3157BD" w14:textId="77777777" w:rsidR="00C1247A" w:rsidRDefault="00C1247A" w:rsidP="007C383F">
      <w:pPr>
        <w:pStyle w:val="ListParagraph"/>
        <w:numPr>
          <w:ilvl w:val="1"/>
          <w:numId w:val="60"/>
        </w:numPr>
        <w:tabs>
          <w:tab w:val="left" w:pos="3060"/>
        </w:tabs>
      </w:pPr>
      <w:r>
        <w:t>Short-selling incurs additional costs</w:t>
      </w:r>
    </w:p>
    <w:p w14:paraId="4BFFD49C" w14:textId="77777777" w:rsidR="00C1247A" w:rsidRDefault="00822B94" w:rsidP="007C383F">
      <w:pPr>
        <w:pStyle w:val="ListParagraph"/>
        <w:numPr>
          <w:ilvl w:val="0"/>
          <w:numId w:val="60"/>
        </w:numPr>
        <w:tabs>
          <w:tab w:val="left" w:pos="3060"/>
        </w:tabs>
      </w:pPr>
      <w:r w:rsidRPr="00822B94">
        <w:rPr>
          <w:u w:val="single"/>
        </w:rPr>
        <w:t xml:space="preserve">2. </w:t>
      </w:r>
      <w:r w:rsidR="00C1247A" w:rsidRPr="00822B94">
        <w:rPr>
          <w:u w:val="single"/>
        </w:rPr>
        <w:t>Time and effort</w:t>
      </w:r>
      <w:r w:rsidR="00C1247A">
        <w:t xml:space="preserve"> are also required, including continuous monitoring of earnings announcements, annual reports and market prices, overcoming any behavioural biases, and development of the required expertise</w:t>
      </w:r>
    </w:p>
    <w:p w14:paraId="308C548B" w14:textId="77777777" w:rsidR="00C1247A" w:rsidRDefault="00822B94" w:rsidP="007C383F">
      <w:pPr>
        <w:pStyle w:val="ListParagraph"/>
        <w:numPr>
          <w:ilvl w:val="0"/>
          <w:numId w:val="60"/>
        </w:numPr>
        <w:tabs>
          <w:tab w:val="left" w:pos="3060"/>
        </w:tabs>
      </w:pPr>
      <w:r w:rsidRPr="00822B94">
        <w:rPr>
          <w:u w:val="single"/>
        </w:rPr>
        <w:t>3. Risk</w:t>
      </w:r>
      <w:r>
        <w:t xml:space="preserve">: a portfolio containing shares for which mispricing exists represents a departure from a fully diversified investment strategy </w:t>
      </w:r>
    </w:p>
    <w:p w14:paraId="1294133E" w14:textId="77777777" w:rsidR="00822B94" w:rsidRPr="001D3335" w:rsidRDefault="008556DC" w:rsidP="00822B94">
      <w:pPr>
        <w:tabs>
          <w:tab w:val="left" w:pos="3060"/>
        </w:tabs>
        <w:rPr>
          <w:b/>
        </w:rPr>
      </w:pPr>
      <w:r w:rsidRPr="001D3335">
        <w:rPr>
          <w:b/>
        </w:rPr>
        <w:t xml:space="preserve">6.2.10 </w:t>
      </w:r>
      <w:proofErr w:type="gramStart"/>
      <w:r w:rsidRPr="001D3335">
        <w:rPr>
          <w:b/>
        </w:rPr>
        <w:t>Why</w:t>
      </w:r>
      <w:proofErr w:type="gramEnd"/>
      <w:r w:rsidRPr="001D3335">
        <w:rPr>
          <w:b/>
        </w:rPr>
        <w:t xml:space="preserve"> do Anomalies Occur in the First Place?</w:t>
      </w:r>
    </w:p>
    <w:p w14:paraId="55B2F495" w14:textId="77777777" w:rsidR="008556DC" w:rsidRDefault="008556DC" w:rsidP="007C383F">
      <w:pPr>
        <w:pStyle w:val="ListParagraph"/>
        <w:numPr>
          <w:ilvl w:val="0"/>
          <w:numId w:val="61"/>
        </w:numPr>
        <w:tabs>
          <w:tab w:val="left" w:pos="3060"/>
        </w:tabs>
      </w:pPr>
      <w:r>
        <w:t>Investors face estimation risk when they are unsure if an increase in earnings is due to an increase in the firm’s expected earning power or if it was due to noise trading (produced by low-persistence earnings item)</w:t>
      </w:r>
    </w:p>
    <w:p w14:paraId="4D5DE7C6" w14:textId="77777777" w:rsidR="008556DC" w:rsidRDefault="008556DC" w:rsidP="007C383F">
      <w:pPr>
        <w:pStyle w:val="ListParagraph"/>
        <w:numPr>
          <w:ilvl w:val="1"/>
          <w:numId w:val="61"/>
        </w:numPr>
        <w:tabs>
          <w:tab w:val="left" w:pos="3060"/>
        </w:tabs>
      </w:pPr>
      <w:r>
        <w:t>Investor will not be able to determine the true cause of the earnings increase either due to poor disclosure or inside information</w:t>
      </w:r>
    </w:p>
    <w:p w14:paraId="26916322" w14:textId="77777777" w:rsidR="008556DC" w:rsidRDefault="001D3335" w:rsidP="007C383F">
      <w:pPr>
        <w:pStyle w:val="ListParagraph"/>
        <w:numPr>
          <w:ilvl w:val="0"/>
          <w:numId w:val="61"/>
        </w:numPr>
        <w:tabs>
          <w:tab w:val="left" w:pos="3060"/>
        </w:tabs>
      </w:pPr>
      <w:r>
        <w:t>A Rational</w:t>
      </w:r>
      <w:r w:rsidR="008556DC">
        <w:t xml:space="preserve"> investor will place some probability on each possibility; and their estimate of expected future earnings will increase, but by less than the increase in current earnings</w:t>
      </w:r>
    </w:p>
    <w:p w14:paraId="3294DEC7" w14:textId="77777777" w:rsidR="008556DC" w:rsidRDefault="008556DC" w:rsidP="007C383F">
      <w:pPr>
        <w:pStyle w:val="ListParagraph"/>
        <w:numPr>
          <w:ilvl w:val="0"/>
          <w:numId w:val="61"/>
        </w:numPr>
        <w:tabs>
          <w:tab w:val="left" w:pos="3060"/>
        </w:tabs>
      </w:pPr>
      <w:r>
        <w:t>Investors will watch for new information – in the presence of new information, investors will revise their expected earning power estimate and make a buy/sell decision</w:t>
      </w:r>
    </w:p>
    <w:p w14:paraId="14334074" w14:textId="77777777" w:rsidR="008556DC" w:rsidRDefault="008556DC" w:rsidP="007C383F">
      <w:pPr>
        <w:pStyle w:val="ListParagraph"/>
        <w:numPr>
          <w:ilvl w:val="1"/>
          <w:numId w:val="61"/>
        </w:numPr>
        <w:tabs>
          <w:tab w:val="left" w:pos="3060"/>
        </w:tabs>
      </w:pPr>
      <w:r>
        <w:t>Waiting for new information and revising actions results in the post-announcement drift – an upward/downward drift in share price</w:t>
      </w:r>
    </w:p>
    <w:p w14:paraId="0D3C528C" w14:textId="77777777" w:rsidR="008556DC" w:rsidRDefault="008556DC" w:rsidP="007C383F">
      <w:pPr>
        <w:pStyle w:val="ListParagraph"/>
        <w:numPr>
          <w:ilvl w:val="1"/>
          <w:numId w:val="61"/>
        </w:numPr>
        <w:tabs>
          <w:tab w:val="left" w:pos="3060"/>
        </w:tabs>
      </w:pPr>
      <w:r>
        <w:t xml:space="preserve">Upward shift consistent with behavioural concept of conservatism – under-reacting; downward shift consistent with behavioural concept of representativeness – over-reacting </w:t>
      </w:r>
    </w:p>
    <w:p w14:paraId="5E37855F" w14:textId="77777777" w:rsidR="008556DC" w:rsidRDefault="008556DC" w:rsidP="007C383F">
      <w:pPr>
        <w:pStyle w:val="ListParagraph"/>
        <w:numPr>
          <w:ilvl w:val="0"/>
          <w:numId w:val="61"/>
        </w:numPr>
        <w:tabs>
          <w:tab w:val="left" w:pos="3060"/>
        </w:tabs>
      </w:pPr>
      <w:r w:rsidRPr="001D3335">
        <w:rPr>
          <w:b/>
        </w:rPr>
        <w:t>Adaptive Market Theory</w:t>
      </w:r>
      <w:r>
        <w:t xml:space="preserve">: investors are viewed as </w:t>
      </w:r>
      <w:proofErr w:type="spellStart"/>
      <w:r>
        <w:t>boundedly</w:t>
      </w:r>
      <w:proofErr w:type="spellEnd"/>
      <w:r>
        <w:t xml:space="preserve"> rational</w:t>
      </w:r>
    </w:p>
    <w:p w14:paraId="1304766A" w14:textId="77777777" w:rsidR="008556DC" w:rsidRDefault="008556DC" w:rsidP="007C383F">
      <w:pPr>
        <w:pStyle w:val="ListParagraph"/>
        <w:numPr>
          <w:ilvl w:val="1"/>
          <w:numId w:val="61"/>
        </w:numPr>
        <w:tabs>
          <w:tab w:val="left" w:pos="3060"/>
        </w:tabs>
      </w:pPr>
      <w:r>
        <w:t>When their environment changes (e.g. higher reported firm profits, increase</w:t>
      </w:r>
      <w:r w:rsidR="001D3335">
        <w:t>d awareness of firm risk), individuals do not react right away – they adapt to their new environments over time</w:t>
      </w:r>
    </w:p>
    <w:p w14:paraId="2D3F7F60" w14:textId="77777777" w:rsidR="001D3335" w:rsidRDefault="001D3335" w:rsidP="007C383F">
      <w:pPr>
        <w:pStyle w:val="ListParagraph"/>
        <w:numPr>
          <w:ilvl w:val="1"/>
          <w:numId w:val="61"/>
        </w:numPr>
        <w:tabs>
          <w:tab w:val="left" w:pos="3060"/>
        </w:tabs>
      </w:pPr>
      <w:r>
        <w:t>This produces over-reaction or under-reaction</w:t>
      </w:r>
    </w:p>
    <w:p w14:paraId="7806488F" w14:textId="77777777" w:rsidR="001D3335" w:rsidRDefault="001D3335" w:rsidP="007C383F">
      <w:pPr>
        <w:pStyle w:val="ListParagraph"/>
        <w:numPr>
          <w:ilvl w:val="1"/>
          <w:numId w:val="61"/>
        </w:numPr>
        <w:tabs>
          <w:tab w:val="left" w:pos="3060"/>
        </w:tabs>
      </w:pPr>
      <w:r>
        <w:lastRenderedPageBreak/>
        <w:t xml:space="preserve">A </w:t>
      </w:r>
      <w:proofErr w:type="spellStart"/>
      <w:r>
        <w:t>boundedly</w:t>
      </w:r>
      <w:proofErr w:type="spellEnd"/>
      <w:r>
        <w:t xml:space="preserve"> rational investor will take the time to conduct the in-depth analysis needed to identify the correct possibility </w:t>
      </w:r>
    </w:p>
    <w:p w14:paraId="241A891E" w14:textId="77777777" w:rsidR="001D3335" w:rsidRPr="000B12B9" w:rsidRDefault="000B12B9" w:rsidP="000B12B9">
      <w:pPr>
        <w:tabs>
          <w:tab w:val="left" w:pos="3060"/>
        </w:tabs>
        <w:rPr>
          <w:b/>
        </w:rPr>
      </w:pPr>
      <w:r w:rsidRPr="000B12B9">
        <w:rPr>
          <w:b/>
        </w:rPr>
        <w:t>6.2.11 Conclusions a</w:t>
      </w:r>
      <w:r w:rsidR="001D3335" w:rsidRPr="000B12B9">
        <w:rPr>
          <w:b/>
        </w:rPr>
        <w:t>bout Securities Market Efficiency</w:t>
      </w:r>
    </w:p>
    <w:p w14:paraId="290AFE6B" w14:textId="77777777" w:rsidR="001D3335" w:rsidRDefault="001D3335" w:rsidP="007C383F">
      <w:pPr>
        <w:pStyle w:val="ListParagraph"/>
        <w:numPr>
          <w:ilvl w:val="0"/>
          <w:numId w:val="62"/>
        </w:numPr>
        <w:tabs>
          <w:tab w:val="left" w:pos="3060"/>
        </w:tabs>
      </w:pPr>
      <w:r>
        <w:t xml:space="preserve">We conclude that securities markets are not fully efficient, based largely </w:t>
      </w:r>
      <w:r w:rsidR="000B12B9">
        <w:t>on the development of bubbles and the existence of anomalies</w:t>
      </w:r>
    </w:p>
    <w:p w14:paraId="25CF2364" w14:textId="77777777" w:rsidR="000B12B9" w:rsidRDefault="000B12B9" w:rsidP="007C383F">
      <w:pPr>
        <w:pStyle w:val="ListParagraph"/>
        <w:numPr>
          <w:ilvl w:val="0"/>
          <w:numId w:val="62"/>
        </w:numPr>
        <w:tabs>
          <w:tab w:val="left" w:pos="3060"/>
        </w:tabs>
      </w:pPr>
      <w:r>
        <w:t>While securities prices can at times depart significantly from fundamental value, securities markets are generally semi-strong efficient</w:t>
      </w:r>
    </w:p>
    <w:p w14:paraId="168D88F9" w14:textId="77777777" w:rsidR="000B12B9" w:rsidRDefault="000B12B9" w:rsidP="007C383F">
      <w:pPr>
        <w:pStyle w:val="ListParagraph"/>
        <w:numPr>
          <w:ilvl w:val="0"/>
          <w:numId w:val="62"/>
        </w:numPr>
        <w:tabs>
          <w:tab w:val="left" w:pos="3060"/>
        </w:tabs>
      </w:pPr>
      <w:r>
        <w:t>To the extent that semi-strong efficiency does not hold, the use of current values in financial statements proper may improve decision usefulness</w:t>
      </w:r>
    </w:p>
    <w:p w14:paraId="4ECC8389" w14:textId="77777777" w:rsidR="000B12B9" w:rsidRDefault="000B12B9" w:rsidP="007C383F">
      <w:pPr>
        <w:pStyle w:val="ListParagraph"/>
        <w:numPr>
          <w:ilvl w:val="1"/>
          <w:numId w:val="62"/>
        </w:numPr>
        <w:tabs>
          <w:tab w:val="left" w:pos="3060"/>
        </w:tabs>
      </w:pPr>
      <w:r>
        <w:t>Implementing a measurement approach</w:t>
      </w:r>
    </w:p>
    <w:p w14:paraId="16DEF8C3" w14:textId="77777777" w:rsidR="000B12B9" w:rsidRPr="00A1401F" w:rsidRDefault="000B12B9" w:rsidP="000B12B9">
      <w:pPr>
        <w:tabs>
          <w:tab w:val="left" w:pos="3060"/>
        </w:tabs>
        <w:rPr>
          <w:b/>
        </w:rPr>
      </w:pPr>
      <w:r w:rsidRPr="00A1401F">
        <w:rPr>
          <w:b/>
        </w:rPr>
        <w:t>6.4 The Value Relevance of Financial Statement Information</w:t>
      </w:r>
    </w:p>
    <w:p w14:paraId="02FA0A17" w14:textId="77777777" w:rsidR="000B12B9" w:rsidRDefault="000B12B9" w:rsidP="007C383F">
      <w:pPr>
        <w:pStyle w:val="ListParagraph"/>
        <w:numPr>
          <w:ilvl w:val="0"/>
          <w:numId w:val="63"/>
        </w:numPr>
        <w:tabs>
          <w:tab w:val="left" w:pos="3060"/>
        </w:tabs>
      </w:pPr>
      <w:r>
        <w:t>ERC research suggests that the market is quite sophisticated in its ability to extract value implications from financial statements and that security prices do respond to the information content of net income</w:t>
      </w:r>
    </w:p>
    <w:p w14:paraId="4D61BF24" w14:textId="77777777" w:rsidR="003C15E3" w:rsidRDefault="003C15E3" w:rsidP="007C383F">
      <w:pPr>
        <w:pStyle w:val="ListParagraph"/>
        <w:numPr>
          <w:ilvl w:val="0"/>
          <w:numId w:val="63"/>
        </w:numPr>
        <w:tabs>
          <w:tab w:val="left" w:pos="3060"/>
        </w:tabs>
      </w:pPr>
      <w:r>
        <w:t>Ball and Brown concluded that most of the information in net income was built into share price prior to its announcement date (PAD)</w:t>
      </w:r>
    </w:p>
    <w:p w14:paraId="39EE970E" w14:textId="77777777" w:rsidR="003C15E3" w:rsidRDefault="003C15E3" w:rsidP="007C383F">
      <w:pPr>
        <w:pStyle w:val="ListParagraph"/>
        <w:numPr>
          <w:ilvl w:val="1"/>
          <w:numId w:val="63"/>
        </w:numPr>
        <w:tabs>
          <w:tab w:val="left" w:pos="3060"/>
        </w:tabs>
      </w:pPr>
      <w:r>
        <w:t>Lev’s studies have found that the market’s response to GN/BN in earnings is actually quite small and only 2%-5% of the abnormal variability of narrow-window security returns around the date of the release of earnings information can be attributed to earnings itself</w:t>
      </w:r>
    </w:p>
    <w:p w14:paraId="1125CFCD" w14:textId="77777777" w:rsidR="00A1401F" w:rsidRDefault="00A1401F" w:rsidP="007C383F">
      <w:pPr>
        <w:pStyle w:val="ListParagraph"/>
        <w:numPr>
          <w:ilvl w:val="1"/>
          <w:numId w:val="63"/>
        </w:numPr>
        <w:tabs>
          <w:tab w:val="left" w:pos="3060"/>
        </w:tabs>
      </w:pPr>
      <w:r>
        <w:t>Lev attributed this to poor earnings quality</w:t>
      </w:r>
    </w:p>
    <w:p w14:paraId="72A1AB89" w14:textId="6D4F2F59" w:rsidR="003C15E3" w:rsidRDefault="003C15E3" w:rsidP="007C383F">
      <w:pPr>
        <w:pStyle w:val="ListParagraph"/>
        <w:numPr>
          <w:ilvl w:val="0"/>
          <w:numId w:val="63"/>
        </w:numPr>
        <w:tabs>
          <w:tab w:val="left" w:pos="3060"/>
        </w:tabs>
      </w:pPr>
      <w:r w:rsidRPr="005B164D">
        <w:rPr>
          <w:b/>
        </w:rPr>
        <w:t>Value Relevance</w:t>
      </w:r>
      <w:r>
        <w:t>: measures the extent to which financial statement information assists investor</w:t>
      </w:r>
      <w:r w:rsidR="00F25369">
        <w:t>s to predict future firm value b</w:t>
      </w:r>
      <w:r>
        <w:t xml:space="preserve">y looking at changes in share price surrounding earnings releases </w:t>
      </w:r>
    </w:p>
    <w:p w14:paraId="3F3E8C39" w14:textId="77777777" w:rsidR="003C15E3" w:rsidRDefault="003C15E3" w:rsidP="007C383F">
      <w:pPr>
        <w:pStyle w:val="ListParagraph"/>
        <w:numPr>
          <w:ilvl w:val="0"/>
          <w:numId w:val="63"/>
        </w:numPr>
        <w:tabs>
          <w:tab w:val="left" w:pos="3060"/>
        </w:tabs>
      </w:pPr>
      <w:r>
        <w:t>The ERC is a direct measure of accounting value relevance, regardless of other information sources</w:t>
      </w:r>
    </w:p>
    <w:p w14:paraId="5D963E72" w14:textId="77777777" w:rsidR="003C15E3" w:rsidRDefault="003C15E3" w:rsidP="007C383F">
      <w:pPr>
        <w:pStyle w:val="ListParagraph"/>
        <w:numPr>
          <w:ilvl w:val="0"/>
          <w:numId w:val="63"/>
        </w:numPr>
        <w:tabs>
          <w:tab w:val="left" w:pos="3060"/>
        </w:tabs>
      </w:pPr>
      <w:r>
        <w:t>Reasons for low value relevance:</w:t>
      </w:r>
    </w:p>
    <w:p w14:paraId="67E69026" w14:textId="77777777" w:rsidR="003C15E3" w:rsidRDefault="003C15E3" w:rsidP="007C383F">
      <w:pPr>
        <w:pStyle w:val="ListParagraph"/>
        <w:numPr>
          <w:ilvl w:val="1"/>
          <w:numId w:val="63"/>
        </w:numPr>
        <w:tabs>
          <w:tab w:val="left" w:pos="3060"/>
        </w:tabs>
      </w:pPr>
      <w:r w:rsidRPr="002E29B4">
        <w:rPr>
          <w:highlight w:val="yellow"/>
        </w:rPr>
        <w:t>1. Historical cost based accounting and conservatism</w:t>
      </w:r>
    </w:p>
    <w:p w14:paraId="133501DC" w14:textId="77777777" w:rsidR="00A1401F" w:rsidRDefault="00A1401F" w:rsidP="007C383F">
      <w:pPr>
        <w:pStyle w:val="ListParagraph"/>
        <w:numPr>
          <w:ilvl w:val="2"/>
          <w:numId w:val="63"/>
        </w:numPr>
        <w:tabs>
          <w:tab w:val="left" w:pos="3060"/>
        </w:tabs>
      </w:pPr>
      <w:r>
        <w:t>Net income lags in recognizing much economically significant information</w:t>
      </w:r>
    </w:p>
    <w:p w14:paraId="739518A7" w14:textId="77777777" w:rsidR="00A1401F" w:rsidRDefault="00A1401F" w:rsidP="007C383F">
      <w:pPr>
        <w:pStyle w:val="ListParagraph"/>
        <w:numPr>
          <w:ilvl w:val="2"/>
          <w:numId w:val="63"/>
        </w:numPr>
        <w:tabs>
          <w:tab w:val="left" w:pos="3060"/>
        </w:tabs>
      </w:pPr>
      <w:r>
        <w:t>Waiting longer than the market to recognize value-relevant events</w:t>
      </w:r>
    </w:p>
    <w:p w14:paraId="39DFC6AA" w14:textId="77777777" w:rsidR="003C15E3" w:rsidRPr="002E29B4" w:rsidRDefault="003C15E3" w:rsidP="007C383F">
      <w:pPr>
        <w:pStyle w:val="ListParagraph"/>
        <w:numPr>
          <w:ilvl w:val="1"/>
          <w:numId w:val="63"/>
        </w:numPr>
        <w:tabs>
          <w:tab w:val="left" w:pos="3060"/>
        </w:tabs>
        <w:rPr>
          <w:highlight w:val="yellow"/>
        </w:rPr>
      </w:pPr>
      <w:r w:rsidRPr="002E29B4">
        <w:rPr>
          <w:highlight w:val="yellow"/>
        </w:rPr>
        <w:t xml:space="preserve">2. </w:t>
      </w:r>
      <w:proofErr w:type="spellStart"/>
      <w:r w:rsidRPr="002E29B4">
        <w:rPr>
          <w:highlight w:val="yellow"/>
        </w:rPr>
        <w:t>Informativeness</w:t>
      </w:r>
      <w:proofErr w:type="spellEnd"/>
      <w:r w:rsidRPr="002E29B4">
        <w:rPr>
          <w:highlight w:val="yellow"/>
        </w:rPr>
        <w:t xml:space="preserve"> of price</w:t>
      </w:r>
    </w:p>
    <w:p w14:paraId="58D5354F" w14:textId="77777777" w:rsidR="003C15E3" w:rsidRPr="002E29B4" w:rsidRDefault="003C15E3" w:rsidP="007C383F">
      <w:pPr>
        <w:pStyle w:val="ListParagraph"/>
        <w:numPr>
          <w:ilvl w:val="1"/>
          <w:numId w:val="63"/>
        </w:numPr>
        <w:tabs>
          <w:tab w:val="left" w:pos="3060"/>
        </w:tabs>
        <w:rPr>
          <w:highlight w:val="yellow"/>
        </w:rPr>
      </w:pPr>
      <w:r w:rsidRPr="002E29B4">
        <w:rPr>
          <w:highlight w:val="yellow"/>
        </w:rPr>
        <w:t>3. Presence of noise traders</w:t>
      </w:r>
    </w:p>
    <w:p w14:paraId="066AF178" w14:textId="77777777" w:rsidR="003C15E3" w:rsidRPr="002E29B4" w:rsidRDefault="003C15E3" w:rsidP="007C383F">
      <w:pPr>
        <w:pStyle w:val="ListParagraph"/>
        <w:numPr>
          <w:ilvl w:val="1"/>
          <w:numId w:val="63"/>
        </w:numPr>
        <w:tabs>
          <w:tab w:val="left" w:pos="3060"/>
        </w:tabs>
        <w:rPr>
          <w:highlight w:val="yellow"/>
        </w:rPr>
      </w:pPr>
      <w:r w:rsidRPr="002E29B4">
        <w:rPr>
          <w:highlight w:val="yellow"/>
        </w:rPr>
        <w:t>4. Non-</w:t>
      </w:r>
      <w:proofErr w:type="spellStart"/>
      <w:r w:rsidRPr="002E29B4">
        <w:rPr>
          <w:highlight w:val="yellow"/>
        </w:rPr>
        <w:t>stationarity</w:t>
      </w:r>
      <w:proofErr w:type="spellEnd"/>
      <w:r w:rsidRPr="002E29B4">
        <w:rPr>
          <w:highlight w:val="yellow"/>
        </w:rPr>
        <w:t xml:space="preserve"> </w:t>
      </w:r>
    </w:p>
    <w:p w14:paraId="4FBE2CEF" w14:textId="77777777" w:rsidR="00A1401F" w:rsidRDefault="00A1401F" w:rsidP="007C383F">
      <w:pPr>
        <w:pStyle w:val="ListParagraph"/>
        <w:numPr>
          <w:ilvl w:val="2"/>
          <w:numId w:val="63"/>
        </w:numPr>
        <w:tabs>
          <w:tab w:val="left" w:pos="3060"/>
        </w:tabs>
      </w:pPr>
      <w:r>
        <w:t>Changes in beta as a risk measure</w:t>
      </w:r>
    </w:p>
    <w:p w14:paraId="4DCEAA56" w14:textId="77777777" w:rsidR="003C15E3" w:rsidRPr="002E29B4" w:rsidRDefault="003C15E3" w:rsidP="007C383F">
      <w:pPr>
        <w:pStyle w:val="ListParagraph"/>
        <w:numPr>
          <w:ilvl w:val="1"/>
          <w:numId w:val="63"/>
        </w:numPr>
        <w:tabs>
          <w:tab w:val="left" w:pos="3060"/>
        </w:tabs>
        <w:rPr>
          <w:highlight w:val="yellow"/>
        </w:rPr>
      </w:pPr>
      <w:r w:rsidRPr="002E29B4">
        <w:rPr>
          <w:highlight w:val="yellow"/>
        </w:rPr>
        <w:t xml:space="preserve">5. Irrational investors </w:t>
      </w:r>
    </w:p>
    <w:p w14:paraId="0C697319" w14:textId="77777777" w:rsidR="00A1401F" w:rsidRDefault="00A1401F" w:rsidP="007C383F">
      <w:pPr>
        <w:pStyle w:val="ListParagraph"/>
        <w:numPr>
          <w:ilvl w:val="0"/>
          <w:numId w:val="63"/>
        </w:numPr>
        <w:tabs>
          <w:tab w:val="left" w:pos="3060"/>
        </w:tabs>
      </w:pPr>
      <w:r>
        <w:t>Earnings quality and thus value relevance can be increased by introducing a measurement approach into financial statements</w:t>
      </w:r>
    </w:p>
    <w:p w14:paraId="44712EFE" w14:textId="77777777" w:rsidR="000B12B9" w:rsidRPr="002E29B4" w:rsidRDefault="002E29B4" w:rsidP="000B12B9">
      <w:pPr>
        <w:tabs>
          <w:tab w:val="left" w:pos="3060"/>
        </w:tabs>
        <w:rPr>
          <w:b/>
        </w:rPr>
      </w:pPr>
      <w:r w:rsidRPr="002E29B4">
        <w:rPr>
          <w:b/>
        </w:rPr>
        <w:t xml:space="preserve">6.5 </w:t>
      </w:r>
      <w:proofErr w:type="spellStart"/>
      <w:r w:rsidRPr="002E29B4">
        <w:rPr>
          <w:b/>
        </w:rPr>
        <w:t>Ohlson’s</w:t>
      </w:r>
      <w:proofErr w:type="spellEnd"/>
      <w:r w:rsidRPr="002E29B4">
        <w:rPr>
          <w:b/>
        </w:rPr>
        <w:t xml:space="preserve"> Clean Surplus Theory</w:t>
      </w:r>
    </w:p>
    <w:p w14:paraId="4524A6DB" w14:textId="77777777" w:rsidR="002E29B4" w:rsidRDefault="002E29B4" w:rsidP="007C383F">
      <w:pPr>
        <w:pStyle w:val="ListParagraph"/>
        <w:numPr>
          <w:ilvl w:val="0"/>
          <w:numId w:val="64"/>
        </w:numPr>
        <w:tabs>
          <w:tab w:val="left" w:pos="3060"/>
        </w:tabs>
      </w:pPr>
      <w:r>
        <w:t xml:space="preserve">The </w:t>
      </w:r>
      <w:proofErr w:type="spellStart"/>
      <w:r>
        <w:t>Ohlson</w:t>
      </w:r>
      <w:proofErr w:type="spellEnd"/>
      <w:r>
        <w:t xml:space="preserve"> clean surplus theory provides a framework consistent with the measurement approach, by showing that the market value of the firm can be expressed in terms of fundamental balance sheet and income statement components</w:t>
      </w:r>
    </w:p>
    <w:p w14:paraId="2A21FE92" w14:textId="77777777" w:rsidR="002E29B4" w:rsidRDefault="002E29B4" w:rsidP="007C383F">
      <w:pPr>
        <w:pStyle w:val="ListParagraph"/>
        <w:numPr>
          <w:ilvl w:val="0"/>
          <w:numId w:val="64"/>
        </w:numPr>
        <w:tabs>
          <w:tab w:val="left" w:pos="3060"/>
        </w:tabs>
      </w:pPr>
      <w:r>
        <w:lastRenderedPageBreak/>
        <w:t>Assumptions:</w:t>
      </w:r>
    </w:p>
    <w:p w14:paraId="752FE6CD" w14:textId="77777777" w:rsidR="002E29B4" w:rsidRDefault="002E29B4" w:rsidP="007C383F">
      <w:pPr>
        <w:pStyle w:val="ListParagraph"/>
        <w:numPr>
          <w:ilvl w:val="1"/>
          <w:numId w:val="64"/>
        </w:numPr>
        <w:tabs>
          <w:tab w:val="left" w:pos="3060"/>
        </w:tabs>
      </w:pPr>
      <w:r>
        <w:t>Ideal conditions in capital markets</w:t>
      </w:r>
    </w:p>
    <w:p w14:paraId="49B6366A" w14:textId="77777777" w:rsidR="00BB006B" w:rsidRDefault="002E29B4" w:rsidP="007C383F">
      <w:pPr>
        <w:pStyle w:val="ListParagraph"/>
        <w:numPr>
          <w:ilvl w:val="1"/>
          <w:numId w:val="64"/>
        </w:numPr>
        <w:tabs>
          <w:tab w:val="left" w:pos="3060"/>
        </w:tabs>
      </w:pPr>
      <w:r>
        <w:t>Dividend irrelevancy</w:t>
      </w:r>
    </w:p>
    <w:p w14:paraId="6E5268BB" w14:textId="77777777" w:rsidR="00BB006B" w:rsidRDefault="00BB006B" w:rsidP="007C383F">
      <w:pPr>
        <w:pStyle w:val="ListParagraph"/>
        <w:numPr>
          <w:ilvl w:val="1"/>
          <w:numId w:val="64"/>
        </w:numPr>
        <w:tabs>
          <w:tab w:val="left" w:pos="3060"/>
        </w:tabs>
      </w:pPr>
      <w:r w:rsidRPr="00F60D30">
        <w:t>Infinite time horizon</w:t>
      </w:r>
    </w:p>
    <w:p w14:paraId="6A88C12C" w14:textId="77777777" w:rsidR="00BB006B" w:rsidRDefault="00BB006B" w:rsidP="007C383F">
      <w:pPr>
        <w:pStyle w:val="ListParagraph"/>
        <w:numPr>
          <w:ilvl w:val="1"/>
          <w:numId w:val="64"/>
        </w:numPr>
        <w:tabs>
          <w:tab w:val="left" w:pos="3060"/>
        </w:tabs>
      </w:pPr>
      <w:r w:rsidRPr="00F60D30">
        <w:t>All gains and losses go through net income, which is the source of the term “clean” surplus in the theory</w:t>
      </w:r>
    </w:p>
    <w:p w14:paraId="1B679CEA" w14:textId="77777777" w:rsidR="002E29B4" w:rsidRDefault="002E29B4" w:rsidP="007C383F">
      <w:pPr>
        <w:pStyle w:val="ListParagraph"/>
        <w:numPr>
          <w:ilvl w:val="0"/>
          <w:numId w:val="64"/>
        </w:numPr>
        <w:tabs>
          <w:tab w:val="left" w:pos="3060"/>
        </w:tabs>
      </w:pPr>
      <w:r>
        <w:t>Also called the residual income model</w:t>
      </w:r>
    </w:p>
    <w:p w14:paraId="70FB6E02" w14:textId="77777777" w:rsidR="002E29B4" w:rsidRDefault="002E29B4" w:rsidP="007C383F">
      <w:pPr>
        <w:pStyle w:val="ListParagraph"/>
        <w:numPr>
          <w:ilvl w:val="0"/>
          <w:numId w:val="64"/>
        </w:numPr>
        <w:tabs>
          <w:tab w:val="left" w:pos="3060"/>
        </w:tabs>
      </w:pPr>
      <w:proofErr w:type="spellStart"/>
      <w:r>
        <w:t>Ohlson</w:t>
      </w:r>
      <w:proofErr w:type="spellEnd"/>
      <w:r>
        <w:t xml:space="preserve"> points out that the fundamental determinant of a firm’s value is its dividend stream</w:t>
      </w:r>
    </w:p>
    <w:p w14:paraId="78B83AFC" w14:textId="77777777" w:rsidR="002E29B4" w:rsidRDefault="002E29B4" w:rsidP="007C383F">
      <w:pPr>
        <w:pStyle w:val="ListParagraph"/>
        <w:numPr>
          <w:ilvl w:val="0"/>
          <w:numId w:val="64"/>
        </w:numPr>
        <w:tabs>
          <w:tab w:val="left" w:pos="3060"/>
        </w:tabs>
      </w:pPr>
      <w:r>
        <w:t>The expected present value of abnormal earnings is also called goodwill</w:t>
      </w:r>
    </w:p>
    <w:p w14:paraId="4EBBC3EA" w14:textId="77777777" w:rsidR="002E29B4" w:rsidRDefault="002E29B4" w:rsidP="007C383F">
      <w:pPr>
        <w:pStyle w:val="ListParagraph"/>
        <w:numPr>
          <w:ilvl w:val="0"/>
          <w:numId w:val="64"/>
        </w:numPr>
        <w:tabs>
          <w:tab w:val="left" w:pos="3060"/>
        </w:tabs>
      </w:pPr>
      <w:r w:rsidRPr="00CE7B9A">
        <w:rPr>
          <w:highlight w:val="cyan"/>
        </w:rPr>
        <w:t>Firm Value = Net Assets +/- PV of future abnormal earnings or goodwill</w:t>
      </w:r>
    </w:p>
    <w:p w14:paraId="1457D748" w14:textId="77777777" w:rsidR="002E29B4" w:rsidRPr="00CE7B9A" w:rsidRDefault="002E29B4" w:rsidP="007C383F">
      <w:pPr>
        <w:pStyle w:val="ListParagraph"/>
        <w:numPr>
          <w:ilvl w:val="0"/>
          <w:numId w:val="64"/>
        </w:numPr>
        <w:tabs>
          <w:tab w:val="left" w:pos="3060"/>
        </w:tabs>
        <w:rPr>
          <w:u w:val="single"/>
        </w:rPr>
      </w:pPr>
      <w:r w:rsidRPr="00CE7B9A">
        <w:rPr>
          <w:u w:val="single"/>
        </w:rPr>
        <w:t>1. UNBIASED ACCOUNTING</w:t>
      </w:r>
    </w:p>
    <w:p w14:paraId="08EA8E85" w14:textId="77777777" w:rsidR="00BB006B" w:rsidRDefault="002E29B4" w:rsidP="007C383F">
      <w:pPr>
        <w:pStyle w:val="ListParagraph"/>
        <w:numPr>
          <w:ilvl w:val="1"/>
          <w:numId w:val="64"/>
        </w:numPr>
        <w:tabs>
          <w:tab w:val="left" w:pos="3060"/>
        </w:tabs>
      </w:pPr>
      <w:r>
        <w:t>Ideal conditions; easy to value assets/liabilities at current value</w:t>
      </w:r>
    </w:p>
    <w:p w14:paraId="296A41FC" w14:textId="77777777" w:rsidR="00BB006B" w:rsidRDefault="00BB006B" w:rsidP="007C383F">
      <w:pPr>
        <w:pStyle w:val="ListParagraph"/>
        <w:numPr>
          <w:ilvl w:val="1"/>
          <w:numId w:val="64"/>
        </w:numPr>
        <w:tabs>
          <w:tab w:val="left" w:pos="3060"/>
        </w:tabs>
      </w:pPr>
      <w:r w:rsidRPr="0013004C">
        <w:t>Unrecorded goodwill = zero, that is no persistence of abnormal earnings.</w:t>
      </w:r>
    </w:p>
    <w:p w14:paraId="6C7226D4" w14:textId="77777777" w:rsidR="00BB006B" w:rsidRDefault="00BB006B" w:rsidP="007C383F">
      <w:pPr>
        <w:pStyle w:val="ListParagraph"/>
        <w:numPr>
          <w:ilvl w:val="1"/>
          <w:numId w:val="64"/>
        </w:numPr>
        <w:tabs>
          <w:tab w:val="left" w:pos="3060"/>
        </w:tabs>
      </w:pPr>
      <w:r w:rsidRPr="0013004C">
        <w:t>Under ideal conditions, all firm value appears on the balance sheet, and the income statement has no information content.</w:t>
      </w:r>
    </w:p>
    <w:p w14:paraId="72487B63" w14:textId="77777777" w:rsidR="00BB006B" w:rsidRPr="0013004C" w:rsidRDefault="00BB006B" w:rsidP="007C383F">
      <w:pPr>
        <w:pStyle w:val="ListParagraph"/>
        <w:numPr>
          <w:ilvl w:val="1"/>
          <w:numId w:val="64"/>
        </w:numPr>
        <w:tabs>
          <w:tab w:val="left" w:pos="3060"/>
        </w:tabs>
      </w:pPr>
      <w:r>
        <w:t xml:space="preserve">Unbiased accounting represents the extreme of the measurement approach. That is, </w:t>
      </w:r>
      <w:r w:rsidRPr="0013004C">
        <w:t>all assets and liabilities</w:t>
      </w:r>
      <w:r>
        <w:t xml:space="preserve"> are valued at current value.</w:t>
      </w:r>
    </w:p>
    <w:p w14:paraId="61B28637" w14:textId="77777777" w:rsidR="00BB006B" w:rsidRPr="00CE7B9A" w:rsidRDefault="00BB006B" w:rsidP="007C383F">
      <w:pPr>
        <w:pStyle w:val="ListParagraph"/>
        <w:numPr>
          <w:ilvl w:val="0"/>
          <w:numId w:val="64"/>
        </w:numPr>
        <w:tabs>
          <w:tab w:val="left" w:pos="3060"/>
        </w:tabs>
        <w:rPr>
          <w:u w:val="single"/>
        </w:rPr>
      </w:pPr>
      <w:r w:rsidRPr="00CE7B9A">
        <w:rPr>
          <w:u w:val="single"/>
        </w:rPr>
        <w:t>2. BIASED ACCOUNTING</w:t>
      </w:r>
    </w:p>
    <w:p w14:paraId="18D3D28F" w14:textId="77777777" w:rsidR="00BB006B" w:rsidRPr="0013004C" w:rsidRDefault="00BB006B" w:rsidP="007C383F">
      <w:pPr>
        <w:pStyle w:val="ListParagraph"/>
        <w:numPr>
          <w:ilvl w:val="1"/>
          <w:numId w:val="64"/>
        </w:numPr>
        <w:spacing w:after="0" w:line="240" w:lineRule="auto"/>
        <w:ind w:right="-180"/>
      </w:pPr>
      <w:r w:rsidRPr="003769A5">
        <w:t>Unrecorded goodwill ≠ zero</w:t>
      </w:r>
    </w:p>
    <w:p w14:paraId="114184FB" w14:textId="77777777" w:rsidR="00BB006B" w:rsidRPr="00BC6106" w:rsidRDefault="00BB006B" w:rsidP="007C383F">
      <w:pPr>
        <w:pStyle w:val="ListParagraph"/>
        <w:numPr>
          <w:ilvl w:val="1"/>
          <w:numId w:val="64"/>
        </w:numPr>
        <w:spacing w:after="0" w:line="240" w:lineRule="auto"/>
        <w:ind w:right="-180"/>
      </w:pPr>
      <w:r w:rsidRPr="003769A5">
        <w:t xml:space="preserve">Historical cost accounting or, more generally, conservative accounting for its capital asset, may be biased downwards relative to current value. </w:t>
      </w:r>
    </w:p>
    <w:p w14:paraId="19973A2C" w14:textId="77777777" w:rsidR="00BB006B" w:rsidRPr="0013004C" w:rsidRDefault="00BB006B" w:rsidP="007C383F">
      <w:pPr>
        <w:pStyle w:val="ListParagraph"/>
        <w:numPr>
          <w:ilvl w:val="1"/>
          <w:numId w:val="64"/>
        </w:numPr>
        <w:spacing w:after="0" w:line="240" w:lineRule="auto"/>
        <w:ind w:right="-180"/>
      </w:pPr>
      <w:r w:rsidRPr="003769A5">
        <w:t>The clean surplus formula holds for any basis of accounting, not just unbiased accounting under ideal conditions.</w:t>
      </w:r>
    </w:p>
    <w:p w14:paraId="599F6B2C" w14:textId="77777777" w:rsidR="00BB006B" w:rsidRDefault="00BB006B" w:rsidP="007C383F">
      <w:pPr>
        <w:pStyle w:val="ListParagraph"/>
        <w:numPr>
          <w:ilvl w:val="0"/>
          <w:numId w:val="65"/>
        </w:numPr>
        <w:spacing w:after="0" w:line="240" w:lineRule="auto"/>
        <w:ind w:right="-180"/>
      </w:pPr>
      <w:r>
        <w:t>The importance of clean surplus model</w:t>
      </w:r>
    </w:p>
    <w:p w14:paraId="53DF51DF" w14:textId="77777777" w:rsidR="00BB006B" w:rsidRPr="00BC6106" w:rsidRDefault="00BB006B" w:rsidP="007C383F">
      <w:pPr>
        <w:numPr>
          <w:ilvl w:val="0"/>
          <w:numId w:val="66"/>
        </w:numPr>
        <w:spacing w:after="0" w:line="240" w:lineRule="auto"/>
        <w:ind w:right="-180"/>
      </w:pPr>
      <w:r w:rsidRPr="00BC6106">
        <w:t>An alternate approach to estimating firm value</w:t>
      </w:r>
    </w:p>
    <w:p w14:paraId="3954BE84" w14:textId="77777777" w:rsidR="00BB006B" w:rsidRPr="00BC6106" w:rsidRDefault="00BB006B" w:rsidP="007C383F">
      <w:pPr>
        <w:numPr>
          <w:ilvl w:val="1"/>
          <w:numId w:val="66"/>
        </w:numPr>
        <w:spacing w:after="0" w:line="240" w:lineRule="auto"/>
        <w:ind w:right="-180"/>
      </w:pPr>
      <w:r w:rsidRPr="00BC6106">
        <w:t>Theoretically sound</w:t>
      </w:r>
    </w:p>
    <w:p w14:paraId="031D9404" w14:textId="77777777" w:rsidR="00BB006B" w:rsidRPr="00BC6106" w:rsidRDefault="00BB006B" w:rsidP="007C383F">
      <w:pPr>
        <w:numPr>
          <w:ilvl w:val="1"/>
          <w:numId w:val="66"/>
        </w:numPr>
        <w:spacing w:after="0" w:line="240" w:lineRule="auto"/>
        <w:ind w:right="-180"/>
      </w:pPr>
      <w:r w:rsidRPr="00BC6106">
        <w:t>Uses accounting variables</w:t>
      </w:r>
    </w:p>
    <w:p w14:paraId="20C40A90" w14:textId="77777777" w:rsidR="00BB006B" w:rsidRDefault="00BB006B" w:rsidP="007C383F">
      <w:pPr>
        <w:numPr>
          <w:ilvl w:val="1"/>
          <w:numId w:val="66"/>
        </w:numPr>
        <w:spacing w:after="0" w:line="240" w:lineRule="auto"/>
        <w:ind w:right="-180"/>
      </w:pPr>
      <w:r w:rsidRPr="00BC6106">
        <w:t>May be easier to apply than the cash flow model</w:t>
      </w:r>
    </w:p>
    <w:p w14:paraId="1BD5F721" w14:textId="77777777" w:rsidR="00CE7B9A" w:rsidRPr="00BC6106" w:rsidRDefault="00CE7B9A" w:rsidP="007C383F">
      <w:pPr>
        <w:numPr>
          <w:ilvl w:val="2"/>
          <w:numId w:val="66"/>
        </w:numPr>
        <w:spacing w:after="0" w:line="240" w:lineRule="auto"/>
        <w:ind w:right="-180"/>
      </w:pPr>
      <w:r>
        <w:t>Better earnings prediction through this model enables better estimates of unrecorded goodwill, leading to better predictions of firm value, and better investment decisions</w:t>
      </w:r>
    </w:p>
    <w:p w14:paraId="7A767C09" w14:textId="77777777" w:rsidR="00BB006B" w:rsidRPr="00BC6106" w:rsidRDefault="00BB006B" w:rsidP="007C383F">
      <w:pPr>
        <w:numPr>
          <w:ilvl w:val="0"/>
          <w:numId w:val="66"/>
        </w:numPr>
        <w:spacing w:after="0" w:line="240" w:lineRule="auto"/>
        <w:ind w:right="-180"/>
      </w:pPr>
      <w:r w:rsidRPr="00BC6106">
        <w:t>Estimating a firm’s cost of capital</w:t>
      </w:r>
    </w:p>
    <w:p w14:paraId="2E815750" w14:textId="77777777" w:rsidR="00BB006B" w:rsidRPr="00BC6106" w:rsidRDefault="00BB006B" w:rsidP="007C383F">
      <w:pPr>
        <w:numPr>
          <w:ilvl w:val="1"/>
          <w:numId w:val="66"/>
        </w:numPr>
        <w:spacing w:after="0" w:line="240" w:lineRule="auto"/>
        <w:ind w:right="-180"/>
      </w:pPr>
      <w:r w:rsidRPr="00BC6106">
        <w:t>Clean surplus model provides an alternative to the CAPM for cost of capital estimation.</w:t>
      </w:r>
    </w:p>
    <w:p w14:paraId="32FF5D39" w14:textId="77777777" w:rsidR="00BB006B" w:rsidRPr="00BC6106" w:rsidRDefault="00BB006B" w:rsidP="007C383F">
      <w:pPr>
        <w:numPr>
          <w:ilvl w:val="1"/>
          <w:numId w:val="66"/>
        </w:numPr>
        <w:spacing w:after="0" w:line="240" w:lineRule="auto"/>
        <w:ind w:right="-180"/>
      </w:pPr>
      <w:r w:rsidRPr="00BC6106">
        <w:t>It offers some advantages over the CAPM by eliminating the need to estimate beta and the expected return on the market portfolio.</w:t>
      </w:r>
    </w:p>
    <w:p w14:paraId="09A8204A" w14:textId="77777777" w:rsidR="00BB006B" w:rsidRPr="00BC6106" w:rsidRDefault="00BB006B" w:rsidP="007C383F">
      <w:pPr>
        <w:numPr>
          <w:ilvl w:val="0"/>
          <w:numId w:val="66"/>
        </w:numPr>
        <w:spacing w:after="0" w:line="240" w:lineRule="auto"/>
        <w:ind w:right="-180"/>
      </w:pPr>
      <w:r>
        <w:t>The</w:t>
      </w:r>
      <w:r w:rsidRPr="00BC6106">
        <w:t xml:space="preserve"> model can generate the same firm value regardless of the accounting policies used by the firm.</w:t>
      </w:r>
    </w:p>
    <w:p w14:paraId="11EB5C6D" w14:textId="77777777" w:rsidR="00BB006B" w:rsidRDefault="00BB006B" w:rsidP="007C383F">
      <w:pPr>
        <w:numPr>
          <w:ilvl w:val="1"/>
          <w:numId w:val="66"/>
        </w:numPr>
        <w:spacing w:after="0" w:line="240" w:lineRule="auto"/>
        <w:ind w:right="-180"/>
      </w:pPr>
      <w:r w:rsidRPr="00BC6106">
        <w:t>Upside: An investor who may wish to use the model to predict firm value does not in theory have to be concerned about the firm’s choice of accounting policies</w:t>
      </w:r>
    </w:p>
    <w:p w14:paraId="0D457527" w14:textId="77777777" w:rsidR="00BB006B" w:rsidRPr="00BC6106" w:rsidRDefault="00BB006B" w:rsidP="007C383F">
      <w:pPr>
        <w:numPr>
          <w:ilvl w:val="2"/>
          <w:numId w:val="66"/>
        </w:numPr>
        <w:spacing w:after="0" w:line="240" w:lineRule="auto"/>
        <w:ind w:right="-180"/>
      </w:pPr>
      <w:r>
        <w:t>Whether a manager biases net income in terms of conservative accounting or in a way to increase net income does not matter because the firm value as calculated by the model is the same</w:t>
      </w:r>
    </w:p>
    <w:p w14:paraId="3CAC0B72" w14:textId="77777777" w:rsidR="00BB006B" w:rsidRPr="00BC6106" w:rsidRDefault="00BB006B" w:rsidP="007C383F">
      <w:pPr>
        <w:numPr>
          <w:ilvl w:val="1"/>
          <w:numId w:val="66"/>
        </w:numPr>
        <w:spacing w:after="0" w:line="240" w:lineRule="auto"/>
        <w:ind w:right="-180"/>
      </w:pPr>
      <w:r w:rsidRPr="00BC6106">
        <w:t xml:space="preserve">Downside: the model can provide no guidance as to what accounting policies should be used. </w:t>
      </w:r>
    </w:p>
    <w:p w14:paraId="2F3FE9AF" w14:textId="77777777" w:rsidR="00BB006B" w:rsidRPr="00BC6106" w:rsidRDefault="00BB006B" w:rsidP="007C383F">
      <w:pPr>
        <w:numPr>
          <w:ilvl w:val="0"/>
          <w:numId w:val="66"/>
        </w:numPr>
        <w:spacing w:after="0" w:line="240" w:lineRule="auto"/>
        <w:ind w:right="-180"/>
      </w:pPr>
      <w:r w:rsidRPr="00BC6106">
        <w:t>Increased emphasis on predicting net income</w:t>
      </w:r>
    </w:p>
    <w:p w14:paraId="41F4AD2D" w14:textId="77777777" w:rsidR="00BB006B" w:rsidRPr="00BC6106" w:rsidRDefault="00BB006B" w:rsidP="007C383F">
      <w:pPr>
        <w:numPr>
          <w:ilvl w:val="1"/>
          <w:numId w:val="66"/>
        </w:numPr>
        <w:spacing w:after="0" w:line="240" w:lineRule="auto"/>
        <w:ind w:right="-180"/>
        <w:jc w:val="both"/>
      </w:pPr>
      <w:r w:rsidRPr="00BC6106">
        <w:lastRenderedPageBreak/>
        <w:t>Since needed for expected abnormal earnings calculation</w:t>
      </w:r>
    </w:p>
    <w:p w14:paraId="62A45F94" w14:textId="77777777" w:rsidR="00BB006B" w:rsidRDefault="00BB006B" w:rsidP="007C383F">
      <w:pPr>
        <w:numPr>
          <w:ilvl w:val="0"/>
          <w:numId w:val="66"/>
        </w:numPr>
        <w:spacing w:after="0" w:line="240" w:lineRule="auto"/>
        <w:ind w:right="-180"/>
      </w:pPr>
      <w:r w:rsidRPr="00BC6106">
        <w:t xml:space="preserve">Supports measurement approach </w:t>
      </w:r>
    </w:p>
    <w:p w14:paraId="56F38E80" w14:textId="77777777" w:rsidR="00CE7B9A" w:rsidRDefault="00CE7B9A" w:rsidP="007C383F">
      <w:pPr>
        <w:numPr>
          <w:ilvl w:val="1"/>
          <w:numId w:val="66"/>
        </w:numPr>
        <w:spacing w:after="0" w:line="240" w:lineRule="auto"/>
        <w:ind w:right="-180"/>
      </w:pPr>
      <w:r>
        <w:t>More current values reported on the balance sheet means a lower proportion of firm value included in unrecorded goodwill, hence less the potential for the investor to make mistakes in estimating the complexity of firm value</w:t>
      </w:r>
    </w:p>
    <w:p w14:paraId="58AEA741" w14:textId="77777777" w:rsidR="00CE7B9A" w:rsidRDefault="00CE7B9A" w:rsidP="007C383F">
      <w:pPr>
        <w:numPr>
          <w:ilvl w:val="1"/>
          <w:numId w:val="66"/>
        </w:numPr>
        <w:spacing w:after="0" w:line="240" w:lineRule="auto"/>
        <w:ind w:right="-180"/>
      </w:pPr>
      <w:r>
        <w:t>This increase in decision usefulness will help make securities markets more efficient</w:t>
      </w:r>
    </w:p>
    <w:p w14:paraId="3F5351E3" w14:textId="77777777" w:rsidR="00CE7B9A" w:rsidRDefault="00CE7B9A" w:rsidP="00CE7B9A">
      <w:pPr>
        <w:spacing w:after="0" w:line="240" w:lineRule="auto"/>
        <w:ind w:right="-180"/>
      </w:pPr>
    </w:p>
    <w:p w14:paraId="7A79532B" w14:textId="77777777" w:rsidR="00CE7B9A" w:rsidRPr="00925BC5" w:rsidRDefault="00CE7B9A" w:rsidP="00CE7B9A">
      <w:pPr>
        <w:spacing w:after="0" w:line="240" w:lineRule="auto"/>
        <w:ind w:right="-180"/>
        <w:rPr>
          <w:b/>
        </w:rPr>
      </w:pPr>
      <w:r w:rsidRPr="00925BC5">
        <w:rPr>
          <w:b/>
        </w:rPr>
        <w:t>6.6 Auditors’ Legal Liability</w:t>
      </w:r>
    </w:p>
    <w:p w14:paraId="1B78936E" w14:textId="77777777" w:rsidR="00CE7B9A" w:rsidRDefault="00CE7B9A" w:rsidP="00CE7B9A">
      <w:pPr>
        <w:spacing w:after="0" w:line="240" w:lineRule="auto"/>
        <w:ind w:right="-180"/>
      </w:pPr>
    </w:p>
    <w:p w14:paraId="7BBCB1B5" w14:textId="77777777" w:rsidR="00CE7B9A" w:rsidRDefault="00B06EBF" w:rsidP="007C383F">
      <w:pPr>
        <w:pStyle w:val="ListParagraph"/>
        <w:numPr>
          <w:ilvl w:val="0"/>
          <w:numId w:val="67"/>
        </w:numPr>
        <w:spacing w:after="0" w:line="240" w:lineRule="auto"/>
        <w:ind w:right="-180"/>
      </w:pPr>
      <w:r>
        <w:t>Failure of large firms (2008 crisis) has generated many of the pressures leading to the measurement approach</w:t>
      </w:r>
    </w:p>
    <w:p w14:paraId="10FA694A" w14:textId="77777777" w:rsidR="00B06EBF" w:rsidRDefault="00B06EBF" w:rsidP="007C383F">
      <w:pPr>
        <w:pStyle w:val="ListParagraph"/>
        <w:numPr>
          <w:ilvl w:val="0"/>
          <w:numId w:val="67"/>
        </w:numPr>
        <w:spacing w:after="0" w:line="240" w:lineRule="auto"/>
        <w:ind w:right="-180"/>
      </w:pPr>
      <w:r>
        <w:t>Auditors often under considerable pressure from management to bend or stretch GAAP so that legal capital requirements, earnings targets, and/or analysts’ forecasts will be met</w:t>
      </w:r>
    </w:p>
    <w:p w14:paraId="71A5EB29" w14:textId="77777777" w:rsidR="00B06EBF" w:rsidRDefault="00B06EBF" w:rsidP="007C383F">
      <w:pPr>
        <w:pStyle w:val="ListParagraph"/>
        <w:numPr>
          <w:ilvl w:val="0"/>
          <w:numId w:val="67"/>
        </w:numPr>
        <w:spacing w:after="0" w:line="240" w:lineRule="auto"/>
        <w:ind w:right="-180"/>
      </w:pPr>
      <w:r>
        <w:t>Overvaluation of net assets was a major criticism of what contributed to the loan failures – there was no requirement to re-value assets to their current value; instead a going-concern assumption was issued</w:t>
      </w:r>
    </w:p>
    <w:p w14:paraId="053B7557" w14:textId="77777777" w:rsidR="00B06EBF" w:rsidRDefault="00B06EBF" w:rsidP="007C383F">
      <w:pPr>
        <w:pStyle w:val="ListParagraph"/>
        <w:numPr>
          <w:ilvl w:val="0"/>
          <w:numId w:val="67"/>
        </w:numPr>
        <w:spacing w:after="0" w:line="240" w:lineRule="auto"/>
        <w:ind w:right="-180"/>
      </w:pPr>
      <w:r>
        <w:t>After the crisis, approaches such as the lower-of-cost-or-market rule and ceiling tests were applied – mirroring the measurement approach</w:t>
      </w:r>
    </w:p>
    <w:p w14:paraId="55113E61" w14:textId="77777777" w:rsidR="00B06EBF" w:rsidRDefault="00B06EBF" w:rsidP="007C383F">
      <w:pPr>
        <w:pStyle w:val="ListParagraph"/>
        <w:numPr>
          <w:ilvl w:val="1"/>
          <w:numId w:val="67"/>
        </w:numPr>
        <w:spacing w:after="0" w:line="240" w:lineRule="auto"/>
        <w:ind w:right="-180"/>
      </w:pPr>
      <w:r>
        <w:t>If net future cash flows from an asset are less than the book value, the asset is written down to its current value</w:t>
      </w:r>
    </w:p>
    <w:p w14:paraId="1192FCC9" w14:textId="77777777" w:rsidR="00B06EBF" w:rsidRDefault="00B06EBF" w:rsidP="007C383F">
      <w:pPr>
        <w:pStyle w:val="ListParagraph"/>
        <w:numPr>
          <w:ilvl w:val="1"/>
          <w:numId w:val="67"/>
        </w:numPr>
        <w:spacing w:after="0" w:line="240" w:lineRule="auto"/>
        <w:ind w:right="-180"/>
      </w:pPr>
      <w:r>
        <w:t>Auditors can also reduce their legal liability by pointing out that with ceiling tests, the financial statements proper incorporated the negative value changes</w:t>
      </w:r>
    </w:p>
    <w:p w14:paraId="4EF873ED" w14:textId="77777777" w:rsidR="00BB006B" w:rsidRDefault="00BB006B" w:rsidP="00BB006B">
      <w:pPr>
        <w:tabs>
          <w:tab w:val="left" w:pos="3060"/>
        </w:tabs>
      </w:pPr>
    </w:p>
    <w:p w14:paraId="2C841AD3" w14:textId="77777777" w:rsidR="00925BC5" w:rsidRPr="00B86EC9" w:rsidRDefault="00925BC5" w:rsidP="00BB006B">
      <w:pPr>
        <w:tabs>
          <w:tab w:val="left" w:pos="3060"/>
        </w:tabs>
        <w:rPr>
          <w:b/>
        </w:rPr>
      </w:pPr>
      <w:r w:rsidRPr="00B86EC9">
        <w:rPr>
          <w:b/>
        </w:rPr>
        <w:t>6.8 Conclusions on the Measurement Approach to Decision Usefulness</w:t>
      </w:r>
    </w:p>
    <w:p w14:paraId="6305CE51" w14:textId="77777777" w:rsidR="00925BC5" w:rsidRDefault="00925BC5" w:rsidP="007C383F">
      <w:pPr>
        <w:pStyle w:val="ListParagraph"/>
        <w:numPr>
          <w:ilvl w:val="0"/>
          <w:numId w:val="68"/>
        </w:numPr>
        <w:tabs>
          <w:tab w:val="left" w:pos="3060"/>
        </w:tabs>
      </w:pPr>
      <w:r>
        <w:t>The information approach: accepts historical cost basis of accounting and relies on full disclosure to enhance earnings quality and usefulness to investors</w:t>
      </w:r>
    </w:p>
    <w:p w14:paraId="70C8E612" w14:textId="77777777" w:rsidR="00925BC5" w:rsidRDefault="00925BC5" w:rsidP="007C383F">
      <w:pPr>
        <w:pStyle w:val="ListParagraph"/>
        <w:numPr>
          <w:ilvl w:val="1"/>
          <w:numId w:val="68"/>
        </w:numPr>
        <w:tabs>
          <w:tab w:val="left" w:pos="3060"/>
        </w:tabs>
      </w:pPr>
      <w:r>
        <w:t xml:space="preserve">Form of disclosure does not matter, since it is assumed that there are enough rational, informed, investors to quickly and </w:t>
      </w:r>
      <w:proofErr w:type="spellStart"/>
      <w:r>
        <w:t>unbiasedly</w:t>
      </w:r>
      <w:proofErr w:type="spellEnd"/>
      <w:r>
        <w:t xml:space="preserve"> incorporate any reasonable form into the efficient market price, thereby price protecting investors who may not wish to conduct their own in-depth analysis</w:t>
      </w:r>
      <w:r w:rsidR="00B86EC9">
        <w:t xml:space="preserve"> (BB Study)</w:t>
      </w:r>
    </w:p>
    <w:p w14:paraId="662F28EA" w14:textId="77777777" w:rsidR="00925BC5" w:rsidRDefault="00925BC5" w:rsidP="007C383F">
      <w:pPr>
        <w:pStyle w:val="ListParagraph"/>
        <w:numPr>
          <w:ilvl w:val="1"/>
          <w:numId w:val="68"/>
        </w:numPr>
        <w:tabs>
          <w:tab w:val="left" w:pos="3060"/>
        </w:tabs>
      </w:pPr>
      <w:r>
        <w:t xml:space="preserve">Research has proven that net income information is useful </w:t>
      </w:r>
      <w:r w:rsidR="00B86EC9">
        <w:t xml:space="preserve"> (studies of ERC)</w:t>
      </w:r>
    </w:p>
    <w:p w14:paraId="3A4173E6" w14:textId="77777777" w:rsidR="00B86EC9" w:rsidRDefault="00B86EC9" w:rsidP="007C383F">
      <w:pPr>
        <w:pStyle w:val="ListParagraph"/>
        <w:numPr>
          <w:ilvl w:val="0"/>
          <w:numId w:val="68"/>
        </w:numPr>
        <w:tabs>
          <w:tab w:val="left" w:pos="3060"/>
        </w:tabs>
      </w:pPr>
      <w:r>
        <w:t>However, securities markets may not be as fully efficient as previously believed</w:t>
      </w:r>
    </w:p>
    <w:p w14:paraId="7C07FEB1" w14:textId="77777777" w:rsidR="00B86EC9" w:rsidRDefault="00B86EC9" w:rsidP="007C383F">
      <w:pPr>
        <w:pStyle w:val="ListParagraph"/>
        <w:numPr>
          <w:ilvl w:val="0"/>
          <w:numId w:val="68"/>
        </w:numPr>
        <w:tabs>
          <w:tab w:val="left" w:pos="3060"/>
        </w:tabs>
      </w:pPr>
      <w:r>
        <w:t>Behavioural Theory suggests that current values in the financial statements proper will increase decision-making</w:t>
      </w:r>
    </w:p>
    <w:p w14:paraId="59C2B8B9" w14:textId="77777777" w:rsidR="00B86EC9" w:rsidRDefault="00B86EC9" w:rsidP="007C383F">
      <w:pPr>
        <w:pStyle w:val="ListParagraph"/>
        <w:numPr>
          <w:ilvl w:val="1"/>
          <w:numId w:val="63"/>
        </w:numPr>
        <w:tabs>
          <w:tab w:val="left" w:pos="3060"/>
        </w:tabs>
      </w:pPr>
      <w:r>
        <w:t>Also the 2%-5% of the abnormal variability of narrow-window security returns around the date of the release of earnings information can be attributed to poor earnings quality (Lev) which indicated that net income is not as useful as we may have thought</w:t>
      </w:r>
    </w:p>
    <w:p w14:paraId="1E3564C1" w14:textId="77777777" w:rsidR="00B86EC9" w:rsidRDefault="00B86EC9" w:rsidP="007C383F">
      <w:pPr>
        <w:pStyle w:val="ListParagraph"/>
        <w:numPr>
          <w:ilvl w:val="0"/>
          <w:numId w:val="68"/>
        </w:numPr>
        <w:tabs>
          <w:tab w:val="left" w:pos="3060"/>
        </w:tabs>
      </w:pPr>
      <w:r>
        <w:t>Clean Surplus Theory supports the measurement approach because an increase current values reported on the balance sheet means a lower proportion of firm value included in unrecorded goodwill, hence less the potential for the investor to make mistakes in estimating the complexity of firm value</w:t>
      </w:r>
    </w:p>
    <w:p w14:paraId="016707E6" w14:textId="77777777" w:rsidR="00B86EC9" w:rsidRDefault="00B86EC9" w:rsidP="007C383F">
      <w:pPr>
        <w:pStyle w:val="ListParagraph"/>
        <w:numPr>
          <w:ilvl w:val="0"/>
          <w:numId w:val="68"/>
        </w:numPr>
        <w:tabs>
          <w:tab w:val="left" w:pos="3060"/>
        </w:tabs>
      </w:pPr>
      <w:r>
        <w:t>Measurement approach runs into problems of reliability</w:t>
      </w:r>
    </w:p>
    <w:p w14:paraId="68A6B67A" w14:textId="77777777" w:rsidR="00895E9C" w:rsidRDefault="00895E9C" w:rsidP="00895E9C">
      <w:pPr>
        <w:tabs>
          <w:tab w:val="left" w:pos="3060"/>
        </w:tabs>
      </w:pPr>
    </w:p>
    <w:p w14:paraId="5EB361CD" w14:textId="77777777" w:rsidR="00895E9C" w:rsidRPr="00B85CE5" w:rsidRDefault="00895E9C" w:rsidP="00895E9C">
      <w:pPr>
        <w:tabs>
          <w:tab w:val="left" w:pos="3060"/>
        </w:tabs>
        <w:rPr>
          <w:b/>
          <w:sz w:val="28"/>
          <w:szCs w:val="28"/>
          <w:u w:val="single"/>
        </w:rPr>
      </w:pPr>
      <w:r w:rsidRPr="00B85CE5">
        <w:rPr>
          <w:b/>
          <w:sz w:val="28"/>
          <w:szCs w:val="28"/>
          <w:u w:val="single"/>
        </w:rPr>
        <w:lastRenderedPageBreak/>
        <w:t>Chapter 7: Measurement Applications</w:t>
      </w:r>
    </w:p>
    <w:p w14:paraId="22BBE7F7" w14:textId="77777777" w:rsidR="00895E9C" w:rsidRDefault="00895E9C" w:rsidP="00895E9C">
      <w:pPr>
        <w:pStyle w:val="ListParagraph"/>
        <w:numPr>
          <w:ilvl w:val="0"/>
          <w:numId w:val="69"/>
        </w:numPr>
        <w:tabs>
          <w:tab w:val="left" w:pos="3060"/>
        </w:tabs>
      </w:pPr>
      <w:r>
        <w:t>The movement towards the measurement approach encounters the problem of reliability</w:t>
      </w:r>
    </w:p>
    <w:p w14:paraId="1DBEB730" w14:textId="77777777" w:rsidR="00895E9C" w:rsidRDefault="00895E9C" w:rsidP="00895E9C">
      <w:pPr>
        <w:pStyle w:val="ListParagraph"/>
        <w:numPr>
          <w:ilvl w:val="0"/>
          <w:numId w:val="69"/>
        </w:numPr>
        <w:tabs>
          <w:tab w:val="left" w:pos="3060"/>
        </w:tabs>
      </w:pPr>
      <w:r>
        <w:t>The usefulness of financial statements will be compromised if too much reliability is sacrificed for greater relevance</w:t>
      </w:r>
    </w:p>
    <w:p w14:paraId="388678B7" w14:textId="77777777" w:rsidR="00895E9C" w:rsidRDefault="00895E9C" w:rsidP="00895E9C">
      <w:pPr>
        <w:pStyle w:val="ListParagraph"/>
        <w:numPr>
          <w:ilvl w:val="0"/>
          <w:numId w:val="69"/>
        </w:numPr>
        <w:tabs>
          <w:tab w:val="left" w:pos="3060"/>
        </w:tabs>
      </w:pPr>
      <w:r>
        <w:t>The use of current value accounting in financial statements proper will result in more volatile financial statements</w:t>
      </w:r>
    </w:p>
    <w:p w14:paraId="19D1DAE0" w14:textId="77777777" w:rsidR="00895E9C" w:rsidRPr="00B85CE5" w:rsidRDefault="00895E9C" w:rsidP="00895E9C">
      <w:pPr>
        <w:tabs>
          <w:tab w:val="left" w:pos="3060"/>
        </w:tabs>
        <w:rPr>
          <w:b/>
        </w:rPr>
      </w:pPr>
      <w:r w:rsidRPr="00B85CE5">
        <w:rPr>
          <w:b/>
        </w:rPr>
        <w:t xml:space="preserve">7.2 Current Value Accounting </w:t>
      </w:r>
    </w:p>
    <w:p w14:paraId="22C68769" w14:textId="77777777" w:rsidR="00895E9C" w:rsidRPr="00B85CE5" w:rsidRDefault="00895E9C" w:rsidP="00895E9C">
      <w:pPr>
        <w:tabs>
          <w:tab w:val="left" w:pos="3060"/>
        </w:tabs>
        <w:rPr>
          <w:u w:val="single"/>
        </w:rPr>
      </w:pPr>
      <w:r w:rsidRPr="00B85CE5">
        <w:rPr>
          <w:u w:val="single"/>
        </w:rPr>
        <w:t>1. Value-In-Use</w:t>
      </w:r>
    </w:p>
    <w:p w14:paraId="35459E4A" w14:textId="77777777" w:rsidR="00895E9C" w:rsidRDefault="00895E9C" w:rsidP="00AB6285">
      <w:pPr>
        <w:pStyle w:val="ListParagraph"/>
        <w:numPr>
          <w:ilvl w:val="0"/>
          <w:numId w:val="70"/>
        </w:numPr>
        <w:tabs>
          <w:tab w:val="left" w:pos="3060"/>
        </w:tabs>
      </w:pPr>
      <w:r>
        <w:t>Value-in-use can be measured by the discounted present value of cash expected to be received or paid with respect to the use of the asset or liability</w:t>
      </w:r>
    </w:p>
    <w:p w14:paraId="4AD639E0" w14:textId="77777777" w:rsidR="00895E9C" w:rsidRDefault="00B85CE5" w:rsidP="00AB6285">
      <w:pPr>
        <w:pStyle w:val="ListParagraph"/>
        <w:numPr>
          <w:ilvl w:val="0"/>
          <w:numId w:val="70"/>
        </w:numPr>
        <w:tabs>
          <w:tab w:val="left" w:pos="3060"/>
        </w:tabs>
      </w:pPr>
      <w:r>
        <w:t>Value-in-use can be argued to be the ultimate in relevance, since it measures the expected cash flows to or from the firm</w:t>
      </w:r>
    </w:p>
    <w:p w14:paraId="17771AAC" w14:textId="77777777" w:rsidR="00B85CE5" w:rsidRDefault="00B85CE5" w:rsidP="00AB6285">
      <w:pPr>
        <w:pStyle w:val="ListParagraph"/>
        <w:numPr>
          <w:ilvl w:val="1"/>
          <w:numId w:val="70"/>
        </w:numPr>
        <w:tabs>
          <w:tab w:val="left" w:pos="3060"/>
        </w:tabs>
      </w:pPr>
      <w:r>
        <w:t>Management intent will affect the relevance of using value-in-use (i.e. if they write down an asset a loss on sale would be regarded as low persistence)</w:t>
      </w:r>
    </w:p>
    <w:p w14:paraId="4F46F939" w14:textId="77777777" w:rsidR="00B85CE5" w:rsidRDefault="00B85CE5" w:rsidP="00AB6285">
      <w:pPr>
        <w:pStyle w:val="ListParagraph"/>
        <w:numPr>
          <w:ilvl w:val="0"/>
          <w:numId w:val="70"/>
        </w:numPr>
        <w:tabs>
          <w:tab w:val="left" w:pos="3060"/>
        </w:tabs>
      </w:pPr>
      <w:r>
        <w:t xml:space="preserve">IASB introduced concept of </w:t>
      </w:r>
      <w:r w:rsidRPr="00B85CE5">
        <w:rPr>
          <w:b/>
        </w:rPr>
        <w:t>business model</w:t>
      </w:r>
      <w:r>
        <w:t xml:space="preserve"> – certain financial assets can be initially valued at value-in-use only if the firm’s business model involves holding the assets so as to generate cash flows from interest and principal payments</w:t>
      </w:r>
    </w:p>
    <w:p w14:paraId="70D3D725" w14:textId="77777777" w:rsidR="008D4086" w:rsidRDefault="008D4086" w:rsidP="00AB6285">
      <w:pPr>
        <w:pStyle w:val="ListParagraph"/>
        <w:numPr>
          <w:ilvl w:val="0"/>
          <w:numId w:val="70"/>
        </w:numPr>
        <w:tabs>
          <w:tab w:val="left" w:pos="3060"/>
        </w:tabs>
      </w:pPr>
      <w:r>
        <w:t>Under value-in-use model, revenue is recognized before it is realized, since anticipated future revenues are capitalized into asset values</w:t>
      </w:r>
    </w:p>
    <w:p w14:paraId="09F1A5AC" w14:textId="77777777" w:rsidR="008D4086" w:rsidRDefault="008D4086" w:rsidP="00AB6285">
      <w:pPr>
        <w:pStyle w:val="ListParagraph"/>
        <w:numPr>
          <w:ilvl w:val="0"/>
          <w:numId w:val="70"/>
        </w:numPr>
        <w:tabs>
          <w:tab w:val="left" w:pos="3060"/>
        </w:tabs>
      </w:pPr>
      <w:r>
        <w:t>Net income is simply accretion of discount, plus/minus management’s changes in estimates</w:t>
      </w:r>
    </w:p>
    <w:p w14:paraId="166D7B72" w14:textId="77777777" w:rsidR="00B85CE5" w:rsidRPr="00B85CE5" w:rsidRDefault="00B85CE5" w:rsidP="00B85CE5">
      <w:pPr>
        <w:tabs>
          <w:tab w:val="left" w:pos="3060"/>
        </w:tabs>
        <w:rPr>
          <w:u w:val="single"/>
        </w:rPr>
      </w:pPr>
      <w:r w:rsidRPr="00B85CE5">
        <w:rPr>
          <w:u w:val="single"/>
        </w:rPr>
        <w:t>2. Fair Value</w:t>
      </w:r>
    </w:p>
    <w:p w14:paraId="01259497" w14:textId="77777777" w:rsidR="00B85CE5" w:rsidRDefault="00B85CE5" w:rsidP="00AB6285">
      <w:pPr>
        <w:pStyle w:val="ListParagraph"/>
        <w:numPr>
          <w:ilvl w:val="0"/>
          <w:numId w:val="71"/>
        </w:numPr>
        <w:tabs>
          <w:tab w:val="left" w:pos="3060"/>
        </w:tabs>
      </w:pPr>
      <w:r>
        <w:t>Defined as the price that would be received to sell an asset or paid to transfer a liability in an orderly transaction between market participants at the measurement date</w:t>
      </w:r>
    </w:p>
    <w:p w14:paraId="19C225F9" w14:textId="77777777" w:rsidR="00B85CE5" w:rsidRDefault="00B85CE5" w:rsidP="00AB6285">
      <w:pPr>
        <w:pStyle w:val="ListParagraph"/>
        <w:numPr>
          <w:ilvl w:val="0"/>
          <w:numId w:val="71"/>
        </w:numPr>
        <w:tabs>
          <w:tab w:val="left" w:pos="3060"/>
        </w:tabs>
      </w:pPr>
      <w:r>
        <w:t xml:space="preserve">This basis of valuation also termed </w:t>
      </w:r>
      <w:r w:rsidRPr="00B85CE5">
        <w:rPr>
          <w:b/>
        </w:rPr>
        <w:t>exit price</w:t>
      </w:r>
    </w:p>
    <w:p w14:paraId="48376F04" w14:textId="77777777" w:rsidR="00B85CE5" w:rsidRDefault="00B85CE5" w:rsidP="00AB6285">
      <w:pPr>
        <w:pStyle w:val="ListParagraph"/>
        <w:numPr>
          <w:ilvl w:val="1"/>
          <w:numId w:val="71"/>
        </w:numPr>
        <w:tabs>
          <w:tab w:val="left" w:pos="3060"/>
        </w:tabs>
      </w:pPr>
      <w:r>
        <w:t xml:space="preserve">Exit price measures the opportunity cost to the firm of the intended use of its assets and liabilities </w:t>
      </w:r>
    </w:p>
    <w:p w14:paraId="2ECA110D" w14:textId="19DF865D" w:rsidR="000679A8" w:rsidRDefault="000679A8" w:rsidP="00AB6285">
      <w:pPr>
        <w:pStyle w:val="ListParagraph"/>
        <w:numPr>
          <w:ilvl w:val="1"/>
          <w:numId w:val="71"/>
        </w:numPr>
        <w:tabs>
          <w:tab w:val="left" w:pos="3060"/>
        </w:tabs>
      </w:pPr>
      <w:r>
        <w:t>Opportunity Cost: What is given up on the asset if its not being used</w:t>
      </w:r>
    </w:p>
    <w:p w14:paraId="11AABC38" w14:textId="77777777" w:rsidR="00B85CE5" w:rsidRDefault="00B85CE5" w:rsidP="00AB6285">
      <w:pPr>
        <w:pStyle w:val="ListParagraph"/>
        <w:numPr>
          <w:ilvl w:val="0"/>
          <w:numId w:val="71"/>
        </w:numPr>
        <w:tabs>
          <w:tab w:val="left" w:pos="3060"/>
        </w:tabs>
      </w:pPr>
      <w:r>
        <w:t>Due to market incompleteness, well-working market prices do not exist for many assets and liabilities</w:t>
      </w:r>
    </w:p>
    <w:p w14:paraId="5E035E59" w14:textId="77777777" w:rsidR="00B85CE5" w:rsidRDefault="00B85CE5" w:rsidP="00AB6285">
      <w:pPr>
        <w:pStyle w:val="ListParagraph"/>
        <w:numPr>
          <w:ilvl w:val="1"/>
          <w:numId w:val="71"/>
        </w:numPr>
        <w:tabs>
          <w:tab w:val="left" w:pos="3060"/>
        </w:tabs>
      </w:pPr>
      <w:r>
        <w:t xml:space="preserve">To compensate for this, the standards have developed a </w:t>
      </w:r>
      <w:r w:rsidRPr="00B85CE5">
        <w:rPr>
          <w:b/>
        </w:rPr>
        <w:t>fair value hierarchy</w:t>
      </w:r>
      <w:r>
        <w:t xml:space="preserve"> </w:t>
      </w:r>
    </w:p>
    <w:p w14:paraId="42476A67" w14:textId="77777777" w:rsidR="00B85CE5" w:rsidRDefault="00B85CE5" w:rsidP="00AB6285">
      <w:pPr>
        <w:pStyle w:val="ListParagraph"/>
        <w:numPr>
          <w:ilvl w:val="2"/>
          <w:numId w:val="71"/>
        </w:numPr>
        <w:tabs>
          <w:tab w:val="left" w:pos="3060"/>
        </w:tabs>
      </w:pPr>
      <w:r w:rsidRPr="00B85CE5">
        <w:rPr>
          <w:highlight w:val="yellow"/>
        </w:rPr>
        <w:t>Level 1</w:t>
      </w:r>
      <w:r>
        <w:t>: assets and liabilities for which a reasonably well-working market price exists</w:t>
      </w:r>
    </w:p>
    <w:p w14:paraId="48C9C4BD" w14:textId="77777777" w:rsidR="00B85CE5" w:rsidRDefault="00B85CE5" w:rsidP="00AB6285">
      <w:pPr>
        <w:pStyle w:val="ListParagraph"/>
        <w:numPr>
          <w:ilvl w:val="2"/>
          <w:numId w:val="71"/>
        </w:numPr>
        <w:tabs>
          <w:tab w:val="left" w:pos="3060"/>
        </w:tabs>
      </w:pPr>
      <w:r w:rsidRPr="00B85CE5">
        <w:rPr>
          <w:highlight w:val="yellow"/>
        </w:rPr>
        <w:t>Level 2</w:t>
      </w:r>
      <w:r>
        <w:t>: assets and liabilities for which a market price can be inferred from the market prices of similar items</w:t>
      </w:r>
    </w:p>
    <w:p w14:paraId="7F8D5FE5" w14:textId="77777777" w:rsidR="00B85CE5" w:rsidRDefault="00B85CE5" w:rsidP="00AB6285">
      <w:pPr>
        <w:pStyle w:val="ListParagraph"/>
        <w:numPr>
          <w:ilvl w:val="2"/>
          <w:numId w:val="71"/>
        </w:numPr>
        <w:tabs>
          <w:tab w:val="left" w:pos="3060"/>
        </w:tabs>
      </w:pPr>
      <w:r w:rsidRPr="00B85CE5">
        <w:rPr>
          <w:highlight w:val="yellow"/>
        </w:rPr>
        <w:t>Level 3</w:t>
      </w:r>
      <w:r>
        <w:t>: assets and liabilities for which a market value cannot be observed or inferred – then the firm shall use the best available information about how a market participant holding the asset or liability would value the item (how much would a purchaser of this item be willing to pay?)</w:t>
      </w:r>
    </w:p>
    <w:p w14:paraId="6DA4E134" w14:textId="2C93B393" w:rsidR="00B85CE5" w:rsidRDefault="008D4086" w:rsidP="00AB6285">
      <w:pPr>
        <w:pStyle w:val="ListParagraph"/>
        <w:numPr>
          <w:ilvl w:val="0"/>
          <w:numId w:val="71"/>
        </w:numPr>
        <w:tabs>
          <w:tab w:val="left" w:pos="3060"/>
        </w:tabs>
      </w:pPr>
      <w:r>
        <w:lastRenderedPageBreak/>
        <w:t xml:space="preserve">Under FV model, gains and </w:t>
      </w:r>
      <w:r w:rsidR="00FC2150">
        <w:t>losses are recognized as changes</w:t>
      </w:r>
      <w:r>
        <w:t xml:space="preserve"> in fair value occur</w:t>
      </w:r>
    </w:p>
    <w:p w14:paraId="69608265" w14:textId="77777777" w:rsidR="008D4086" w:rsidRDefault="008D4086" w:rsidP="00AB6285">
      <w:pPr>
        <w:pStyle w:val="ListParagraph"/>
        <w:numPr>
          <w:ilvl w:val="0"/>
          <w:numId w:val="71"/>
        </w:numPr>
        <w:tabs>
          <w:tab w:val="left" w:pos="3060"/>
        </w:tabs>
      </w:pPr>
      <w:r>
        <w:t>Despite the balance sheet emphasis inherent in the measurement approach, the income statement retains importance under fair value accounting since it measures the manager’s stewardship performance</w:t>
      </w:r>
    </w:p>
    <w:p w14:paraId="36775C4C" w14:textId="77777777" w:rsidR="008D4086" w:rsidRDefault="008D4086" w:rsidP="00AB6285">
      <w:pPr>
        <w:pStyle w:val="ListParagraph"/>
        <w:numPr>
          <w:ilvl w:val="1"/>
          <w:numId w:val="71"/>
        </w:numPr>
        <w:tabs>
          <w:tab w:val="left" w:pos="3060"/>
        </w:tabs>
      </w:pPr>
      <w:r>
        <w:t>Have net assets been used to generate a return over and above their opportunity cost?</w:t>
      </w:r>
    </w:p>
    <w:p w14:paraId="1C1C8FE6" w14:textId="77777777" w:rsidR="008D4086" w:rsidRPr="008D4086" w:rsidRDefault="008D4086" w:rsidP="008D4086">
      <w:pPr>
        <w:tabs>
          <w:tab w:val="left" w:pos="3060"/>
        </w:tabs>
        <w:rPr>
          <w:b/>
        </w:rPr>
      </w:pPr>
      <w:r w:rsidRPr="008D4086">
        <w:rPr>
          <w:b/>
        </w:rPr>
        <w:t>7.3 Longstanding Measurement Examples</w:t>
      </w:r>
    </w:p>
    <w:p w14:paraId="0EC93E8D" w14:textId="77777777" w:rsidR="008D4086" w:rsidRDefault="008D4086" w:rsidP="008D4086">
      <w:pPr>
        <w:tabs>
          <w:tab w:val="left" w:pos="3060"/>
        </w:tabs>
      </w:pPr>
      <w:r w:rsidRPr="000F1FE2">
        <w:rPr>
          <w:highlight w:val="yellow"/>
        </w:rPr>
        <w:t>1. Accounts Receivable and Payable</w:t>
      </w:r>
    </w:p>
    <w:p w14:paraId="59717273" w14:textId="77777777" w:rsidR="008D4086" w:rsidRDefault="008D4086" w:rsidP="00AB6285">
      <w:pPr>
        <w:pStyle w:val="ListParagraph"/>
        <w:numPr>
          <w:ilvl w:val="0"/>
          <w:numId w:val="72"/>
        </w:numPr>
        <w:tabs>
          <w:tab w:val="left" w:pos="3060"/>
        </w:tabs>
      </w:pPr>
      <w:r>
        <w:t>Current AR/AP are valued at the expected amount of cash to be received or paid – this valuation approximates present value</w:t>
      </w:r>
    </w:p>
    <w:p w14:paraId="2B9B3079" w14:textId="25F955E3" w:rsidR="004C6208" w:rsidRPr="004C6208" w:rsidRDefault="004C6208" w:rsidP="004C6208">
      <w:pPr>
        <w:pStyle w:val="ListParagraph"/>
        <w:numPr>
          <w:ilvl w:val="1"/>
          <w:numId w:val="72"/>
        </w:numPr>
        <w:tabs>
          <w:tab w:val="left" w:pos="3060"/>
        </w:tabs>
        <w:rPr>
          <w:highlight w:val="green"/>
        </w:rPr>
      </w:pPr>
      <w:r w:rsidRPr="004C6208">
        <w:rPr>
          <w:highlight w:val="green"/>
        </w:rPr>
        <w:t>Approximates present value because when recording A/R the NRV relies on an estimate to come to the final number. (Allowance for doubtful account)</w:t>
      </w:r>
    </w:p>
    <w:p w14:paraId="70408DB3" w14:textId="77777777" w:rsidR="008D4086" w:rsidRDefault="008D4086" w:rsidP="008D4086">
      <w:pPr>
        <w:tabs>
          <w:tab w:val="left" w:pos="3060"/>
        </w:tabs>
      </w:pPr>
      <w:r w:rsidRPr="000F1FE2">
        <w:rPr>
          <w:highlight w:val="yellow"/>
        </w:rPr>
        <w:t>2. Cash Flows Fixed By Contract</w:t>
      </w:r>
    </w:p>
    <w:p w14:paraId="778909C1" w14:textId="77777777" w:rsidR="008D4086" w:rsidRDefault="008D4086" w:rsidP="00AB6285">
      <w:pPr>
        <w:pStyle w:val="ListParagraph"/>
        <w:numPr>
          <w:ilvl w:val="0"/>
          <w:numId w:val="72"/>
        </w:numPr>
        <w:tabs>
          <w:tab w:val="left" w:pos="3060"/>
        </w:tabs>
      </w:pPr>
      <w:r>
        <w:t>Long-term debt: values at the present value of future interest and principal payments, discounted at the effective interest rate (amortized cost accounting)</w:t>
      </w:r>
    </w:p>
    <w:p w14:paraId="5F482985" w14:textId="77777777" w:rsidR="008D4086" w:rsidRDefault="008D4086" w:rsidP="00AB6285">
      <w:pPr>
        <w:pStyle w:val="ListParagraph"/>
        <w:numPr>
          <w:ilvl w:val="0"/>
          <w:numId w:val="72"/>
        </w:numPr>
        <w:tabs>
          <w:tab w:val="left" w:pos="3060"/>
        </w:tabs>
      </w:pPr>
      <w:r>
        <w:t>Leased assets: valued at the lower of the FV of the leased asset or the present value of the minimum lease payments, using the interest rate implicit in the lease or the lessee’s incremental borrowing rate when the implicit rate is impracticable to determine</w:t>
      </w:r>
    </w:p>
    <w:p w14:paraId="6E6DCF9F" w14:textId="77777777" w:rsidR="008D4086" w:rsidRDefault="008D4086" w:rsidP="008D4086">
      <w:pPr>
        <w:tabs>
          <w:tab w:val="left" w:pos="3060"/>
        </w:tabs>
      </w:pPr>
      <w:r w:rsidRPr="000F1FE2">
        <w:rPr>
          <w:highlight w:val="yellow"/>
        </w:rPr>
        <w:t>3. Lower-of-Cost-or-Market Rule</w:t>
      </w:r>
    </w:p>
    <w:p w14:paraId="05C2EDB8" w14:textId="77777777" w:rsidR="008D4086" w:rsidRDefault="008D4086" w:rsidP="00AB6285">
      <w:pPr>
        <w:pStyle w:val="ListParagraph"/>
        <w:numPr>
          <w:ilvl w:val="0"/>
          <w:numId w:val="73"/>
        </w:numPr>
        <w:tabs>
          <w:tab w:val="left" w:pos="3060"/>
        </w:tabs>
      </w:pPr>
      <w:r>
        <w:t>Traditionally applied to inventories</w:t>
      </w:r>
      <w:r w:rsidR="00645980">
        <w:t xml:space="preserve"> – when the net realizable value of inventory falls below cost, it is written down to the lower value </w:t>
      </w:r>
    </w:p>
    <w:p w14:paraId="22264F23" w14:textId="77777777" w:rsidR="00645980" w:rsidRDefault="00645980" w:rsidP="00AB6285">
      <w:pPr>
        <w:pStyle w:val="ListParagraph"/>
        <w:numPr>
          <w:ilvl w:val="0"/>
          <w:numId w:val="73"/>
        </w:numPr>
        <w:tabs>
          <w:tab w:val="left" w:pos="3060"/>
        </w:tabs>
      </w:pPr>
      <w:r>
        <w:t>If net realizable value subsequently increases, the inventory may be written up, but not above cost</w:t>
      </w:r>
    </w:p>
    <w:p w14:paraId="32B6BA65" w14:textId="77777777" w:rsidR="00645980" w:rsidRDefault="00645980" w:rsidP="00AB6285">
      <w:pPr>
        <w:pStyle w:val="ListParagraph"/>
        <w:numPr>
          <w:ilvl w:val="0"/>
          <w:numId w:val="73"/>
        </w:numPr>
        <w:tabs>
          <w:tab w:val="left" w:pos="3060"/>
        </w:tabs>
      </w:pPr>
      <w:r>
        <w:t>Partial application of the measurement approach because the inventory cannot be written up above cost (to protect auditor liability arising from overstatements)</w:t>
      </w:r>
    </w:p>
    <w:p w14:paraId="271995E0" w14:textId="77777777" w:rsidR="00645980" w:rsidRDefault="00645980" w:rsidP="00645980">
      <w:pPr>
        <w:tabs>
          <w:tab w:val="left" w:pos="3060"/>
        </w:tabs>
      </w:pPr>
      <w:r w:rsidRPr="000F1FE2">
        <w:rPr>
          <w:highlight w:val="yellow"/>
        </w:rPr>
        <w:t>4. Revaluation Option for Property, Plant, and Equipment</w:t>
      </w:r>
      <w:r>
        <w:t xml:space="preserve"> </w:t>
      </w:r>
    </w:p>
    <w:p w14:paraId="1B977C68" w14:textId="77777777" w:rsidR="00645980" w:rsidRDefault="00645980" w:rsidP="00AB6285">
      <w:pPr>
        <w:pStyle w:val="ListParagraph"/>
        <w:numPr>
          <w:ilvl w:val="0"/>
          <w:numId w:val="74"/>
        </w:numPr>
        <w:tabs>
          <w:tab w:val="left" w:pos="3060"/>
        </w:tabs>
      </w:pPr>
      <w:r>
        <w:t xml:space="preserve">Revaluation option: as an alternative to historical cost, tangible capital assets can be valued at fair value, providing that this can be done reliably </w:t>
      </w:r>
    </w:p>
    <w:p w14:paraId="1D8C66F1" w14:textId="77777777" w:rsidR="00645980" w:rsidRDefault="00645980" w:rsidP="00AB6285">
      <w:pPr>
        <w:pStyle w:val="ListParagraph"/>
        <w:numPr>
          <w:ilvl w:val="0"/>
          <w:numId w:val="74"/>
        </w:numPr>
        <w:tabs>
          <w:tab w:val="left" w:pos="3060"/>
        </w:tabs>
      </w:pPr>
      <w:r>
        <w:t xml:space="preserve">Once assets are </w:t>
      </w:r>
      <w:proofErr w:type="spellStart"/>
      <w:r>
        <w:t>revalued</w:t>
      </w:r>
      <w:proofErr w:type="spellEnd"/>
      <w:r>
        <w:t>, fair values must be kept up to date, so as not differ materially from fair value at the balance sheet date</w:t>
      </w:r>
    </w:p>
    <w:p w14:paraId="2E55F821" w14:textId="77777777" w:rsidR="00645980" w:rsidRDefault="00645980" w:rsidP="00AB6285">
      <w:pPr>
        <w:pStyle w:val="ListParagraph"/>
        <w:numPr>
          <w:ilvl w:val="0"/>
          <w:numId w:val="74"/>
        </w:numPr>
        <w:tabs>
          <w:tab w:val="left" w:pos="3060"/>
        </w:tabs>
      </w:pPr>
      <w:r>
        <w:t>Revaluations may increase or decrease carrying value</w:t>
      </w:r>
    </w:p>
    <w:p w14:paraId="331CD5E4" w14:textId="77777777" w:rsidR="00645980" w:rsidRDefault="00645980" w:rsidP="00645980">
      <w:pPr>
        <w:tabs>
          <w:tab w:val="left" w:pos="3060"/>
        </w:tabs>
      </w:pPr>
      <w:r w:rsidRPr="000F1FE2">
        <w:rPr>
          <w:highlight w:val="yellow"/>
        </w:rPr>
        <w:t>5. Ceiling Tests for Property, Plant, and Equipment</w:t>
      </w:r>
    </w:p>
    <w:p w14:paraId="744665BD" w14:textId="77777777" w:rsidR="00645980" w:rsidRDefault="00645980" w:rsidP="00AB6285">
      <w:pPr>
        <w:pStyle w:val="ListParagraph"/>
        <w:numPr>
          <w:ilvl w:val="0"/>
          <w:numId w:val="75"/>
        </w:numPr>
        <w:tabs>
          <w:tab w:val="left" w:pos="3060"/>
        </w:tabs>
      </w:pPr>
      <w:r>
        <w:t xml:space="preserve">Ceiling tests for capital assets help protect the auditor from legal liability, and since they force write-downs of assets that would otherwise be overvalued, contribute to the increase in conditional conservatism </w:t>
      </w:r>
    </w:p>
    <w:p w14:paraId="4BBA02AA" w14:textId="77777777" w:rsidR="00645980" w:rsidRDefault="00645980" w:rsidP="00AB6285">
      <w:pPr>
        <w:pStyle w:val="ListParagraph"/>
        <w:numPr>
          <w:ilvl w:val="0"/>
          <w:numId w:val="75"/>
        </w:numPr>
        <w:tabs>
          <w:tab w:val="left" w:pos="3060"/>
        </w:tabs>
      </w:pPr>
      <w:r>
        <w:lastRenderedPageBreak/>
        <w:t xml:space="preserve">Like lower-of-cost or market, ceiling tests are partial application of the measurement approach since determining the ceiling involves similar problems to determining current value </w:t>
      </w:r>
    </w:p>
    <w:p w14:paraId="3A05091A" w14:textId="77777777" w:rsidR="00645980" w:rsidRDefault="00645980" w:rsidP="00AB6285">
      <w:pPr>
        <w:pStyle w:val="ListParagraph"/>
        <w:numPr>
          <w:ilvl w:val="0"/>
          <w:numId w:val="75"/>
        </w:numPr>
        <w:tabs>
          <w:tab w:val="left" w:pos="3060"/>
        </w:tabs>
      </w:pPr>
      <w:r>
        <w:t>Impairment is tested of the book value is greater than the recoverable amount</w:t>
      </w:r>
    </w:p>
    <w:p w14:paraId="6E3B0003" w14:textId="77777777" w:rsidR="00645980" w:rsidRDefault="00645980" w:rsidP="00AB6285">
      <w:pPr>
        <w:pStyle w:val="ListParagraph"/>
        <w:numPr>
          <w:ilvl w:val="1"/>
          <w:numId w:val="75"/>
        </w:numPr>
        <w:tabs>
          <w:tab w:val="left" w:pos="3060"/>
        </w:tabs>
      </w:pPr>
      <w:r>
        <w:t>Recoverable amount = fair value less costs to sell or value in use</w:t>
      </w:r>
    </w:p>
    <w:p w14:paraId="687C5D90" w14:textId="77777777" w:rsidR="00645980" w:rsidRDefault="00645980" w:rsidP="00AB6285">
      <w:pPr>
        <w:pStyle w:val="ListParagraph"/>
        <w:numPr>
          <w:ilvl w:val="1"/>
          <w:numId w:val="75"/>
        </w:numPr>
        <w:tabs>
          <w:tab w:val="left" w:pos="3060"/>
        </w:tabs>
      </w:pPr>
      <w:r>
        <w:t>OR under FASB: if book value is greater than the sum of undiscounted expected future direct net cash flows</w:t>
      </w:r>
    </w:p>
    <w:p w14:paraId="061E3B80" w14:textId="77777777" w:rsidR="00645980" w:rsidRDefault="00645980" w:rsidP="00AB6285">
      <w:pPr>
        <w:pStyle w:val="ListParagraph"/>
        <w:numPr>
          <w:ilvl w:val="0"/>
          <w:numId w:val="75"/>
        </w:numPr>
        <w:tabs>
          <w:tab w:val="left" w:pos="3060"/>
        </w:tabs>
      </w:pPr>
      <w:r>
        <w:t>Impairment losses charged against current earnings</w:t>
      </w:r>
    </w:p>
    <w:p w14:paraId="50DD5D57" w14:textId="77777777" w:rsidR="00645980" w:rsidRDefault="00645980" w:rsidP="00AB6285">
      <w:pPr>
        <w:pStyle w:val="ListParagraph"/>
        <w:numPr>
          <w:ilvl w:val="0"/>
          <w:numId w:val="75"/>
        </w:numPr>
        <w:tabs>
          <w:tab w:val="left" w:pos="3060"/>
        </w:tabs>
      </w:pPr>
      <w:r>
        <w:t>No subsequent reversals of write-downs</w:t>
      </w:r>
    </w:p>
    <w:p w14:paraId="5752A327" w14:textId="77777777" w:rsidR="00645980" w:rsidRDefault="00645980" w:rsidP="00645980">
      <w:pPr>
        <w:tabs>
          <w:tab w:val="left" w:pos="3060"/>
        </w:tabs>
      </w:pPr>
      <w:r w:rsidRPr="000F1FE2">
        <w:rPr>
          <w:highlight w:val="yellow"/>
        </w:rPr>
        <w:t>6. Pensions and Other Post-Employment Benefits</w:t>
      </w:r>
    </w:p>
    <w:p w14:paraId="1849F320" w14:textId="77777777" w:rsidR="00645980" w:rsidRDefault="000F1FE2" w:rsidP="00AB6285">
      <w:pPr>
        <w:pStyle w:val="ListParagraph"/>
        <w:numPr>
          <w:ilvl w:val="0"/>
          <w:numId w:val="76"/>
        </w:numPr>
        <w:tabs>
          <w:tab w:val="left" w:pos="3060"/>
        </w:tabs>
      </w:pPr>
      <w:r>
        <w:t xml:space="preserve">Defined Benefit Pension Plans: pension expense for the current period is calculated by the change in discounted present value of expected future pension payments, including for any future compensation increases </w:t>
      </w:r>
    </w:p>
    <w:p w14:paraId="6800D1F0" w14:textId="77777777" w:rsidR="000F1FE2" w:rsidRDefault="000F1FE2" w:rsidP="00AB6285">
      <w:pPr>
        <w:pStyle w:val="ListParagraph"/>
        <w:numPr>
          <w:ilvl w:val="0"/>
          <w:numId w:val="76"/>
        </w:numPr>
        <w:tabs>
          <w:tab w:val="left" w:pos="3060"/>
        </w:tabs>
      </w:pPr>
      <w:r>
        <w:t>This is reported on the balance sheet</w:t>
      </w:r>
    </w:p>
    <w:p w14:paraId="0282D0B0" w14:textId="77777777" w:rsidR="000F1FE2" w:rsidRDefault="000F1FE2" w:rsidP="00AB6285">
      <w:pPr>
        <w:pStyle w:val="ListParagraph"/>
        <w:numPr>
          <w:ilvl w:val="0"/>
          <w:numId w:val="76"/>
        </w:numPr>
        <w:tabs>
          <w:tab w:val="left" w:pos="3060"/>
        </w:tabs>
      </w:pPr>
      <w:r>
        <w:t>Major challenge for measurement approach – estimating future cash flows requires numerous estimates stretching far into the future</w:t>
      </w:r>
    </w:p>
    <w:p w14:paraId="6F8CA403" w14:textId="77777777" w:rsidR="000F1FE2" w:rsidRDefault="000F1FE2" w:rsidP="00AB6285">
      <w:pPr>
        <w:pStyle w:val="ListParagraph"/>
        <w:numPr>
          <w:ilvl w:val="1"/>
          <w:numId w:val="76"/>
        </w:numPr>
        <w:tabs>
          <w:tab w:val="left" w:pos="3060"/>
        </w:tabs>
      </w:pPr>
      <w:r>
        <w:t>Also, estimates change frequently</w:t>
      </w:r>
    </w:p>
    <w:p w14:paraId="040FFA8E" w14:textId="6116DB70" w:rsidR="008A721D" w:rsidRDefault="000F1FE2" w:rsidP="008A721D">
      <w:pPr>
        <w:pStyle w:val="ListParagraph"/>
        <w:numPr>
          <w:ilvl w:val="1"/>
          <w:numId w:val="76"/>
        </w:numPr>
        <w:tabs>
          <w:tab w:val="left" w:pos="3060"/>
        </w:tabs>
      </w:pPr>
      <w:r>
        <w:t>Reliability is a major concern also because unlike RRA, expense and liability amounts are included in the financial statements proper</w:t>
      </w:r>
    </w:p>
    <w:p w14:paraId="7D8D5E07" w14:textId="16967BFC" w:rsidR="008A721D" w:rsidRPr="00105DA9" w:rsidRDefault="008A721D" w:rsidP="008A721D">
      <w:pPr>
        <w:tabs>
          <w:tab w:val="left" w:pos="3060"/>
        </w:tabs>
        <w:spacing w:line="240" w:lineRule="auto"/>
        <w:rPr>
          <w:b/>
          <w:highlight w:val="green"/>
        </w:rPr>
      </w:pPr>
      <w:r w:rsidRPr="00105DA9">
        <w:rPr>
          <w:b/>
          <w:highlight w:val="green"/>
        </w:rPr>
        <w:t>7.4 Financial Instruments</w:t>
      </w:r>
    </w:p>
    <w:p w14:paraId="261F377C" w14:textId="7A592BEA" w:rsidR="008A721D" w:rsidRPr="00105DA9" w:rsidRDefault="008A721D" w:rsidP="008A721D">
      <w:pPr>
        <w:pStyle w:val="ListParagraph"/>
        <w:numPr>
          <w:ilvl w:val="0"/>
          <w:numId w:val="65"/>
        </w:numPr>
        <w:tabs>
          <w:tab w:val="left" w:pos="3060"/>
        </w:tabs>
        <w:spacing w:line="240" w:lineRule="auto"/>
        <w:rPr>
          <w:b/>
          <w:highlight w:val="green"/>
        </w:rPr>
      </w:pPr>
      <w:r w:rsidRPr="00105DA9">
        <w:rPr>
          <w:highlight w:val="green"/>
        </w:rPr>
        <w:t xml:space="preserve">Defined – Assets &amp; Liabilities </w:t>
      </w:r>
    </w:p>
    <w:p w14:paraId="3C3F7CDF" w14:textId="46AC5074" w:rsidR="00F617A1" w:rsidRPr="00105DA9" w:rsidRDefault="00F617A1" w:rsidP="008A721D">
      <w:pPr>
        <w:pStyle w:val="ListParagraph"/>
        <w:numPr>
          <w:ilvl w:val="0"/>
          <w:numId w:val="65"/>
        </w:numPr>
        <w:tabs>
          <w:tab w:val="left" w:pos="3060"/>
        </w:tabs>
        <w:spacing w:line="240" w:lineRule="auto"/>
        <w:rPr>
          <w:b/>
          <w:highlight w:val="green"/>
        </w:rPr>
      </w:pPr>
      <w:r w:rsidRPr="00105DA9">
        <w:rPr>
          <w:highlight w:val="green"/>
        </w:rPr>
        <w:t>Many notes were made during class regarding this section</w:t>
      </w:r>
    </w:p>
    <w:p w14:paraId="4C8FE0B5" w14:textId="416EF8C6" w:rsidR="00F617A1" w:rsidRPr="00105DA9" w:rsidRDefault="00F617A1" w:rsidP="00F617A1">
      <w:pPr>
        <w:pStyle w:val="ListParagraph"/>
        <w:numPr>
          <w:ilvl w:val="1"/>
          <w:numId w:val="65"/>
        </w:numPr>
        <w:tabs>
          <w:tab w:val="left" w:pos="3060"/>
        </w:tabs>
        <w:spacing w:line="240" w:lineRule="auto"/>
        <w:rPr>
          <w:b/>
          <w:highlight w:val="green"/>
        </w:rPr>
      </w:pPr>
      <w:r w:rsidRPr="00105DA9">
        <w:rPr>
          <w:highlight w:val="green"/>
        </w:rPr>
        <w:t>Look at slides and text</w:t>
      </w:r>
    </w:p>
    <w:p w14:paraId="594AA423" w14:textId="0F735408" w:rsidR="00F617A1" w:rsidRPr="00105DA9" w:rsidRDefault="00F617A1" w:rsidP="00F617A1">
      <w:pPr>
        <w:tabs>
          <w:tab w:val="left" w:pos="3060"/>
        </w:tabs>
        <w:spacing w:line="240" w:lineRule="auto"/>
        <w:rPr>
          <w:b/>
          <w:highlight w:val="green"/>
        </w:rPr>
      </w:pPr>
      <w:r w:rsidRPr="00105DA9">
        <w:rPr>
          <w:b/>
          <w:highlight w:val="green"/>
        </w:rPr>
        <w:t xml:space="preserve">7.5 FV Accounting </w:t>
      </w:r>
    </w:p>
    <w:p w14:paraId="55894D9D" w14:textId="3253B4D4" w:rsidR="00F617A1" w:rsidRPr="00105DA9" w:rsidRDefault="00C61D97" w:rsidP="00C61D97">
      <w:pPr>
        <w:pStyle w:val="ListParagraph"/>
        <w:numPr>
          <w:ilvl w:val="0"/>
          <w:numId w:val="80"/>
        </w:numPr>
        <w:tabs>
          <w:tab w:val="left" w:pos="3060"/>
        </w:tabs>
        <w:spacing w:line="240" w:lineRule="auto"/>
        <w:rPr>
          <w:b/>
          <w:highlight w:val="green"/>
        </w:rPr>
      </w:pPr>
      <w:r w:rsidRPr="00105DA9">
        <w:rPr>
          <w:highlight w:val="green"/>
        </w:rPr>
        <w:t xml:space="preserve">FV </w:t>
      </w:r>
      <w:proofErr w:type="spellStart"/>
      <w:r w:rsidRPr="00105DA9">
        <w:rPr>
          <w:highlight w:val="green"/>
        </w:rPr>
        <w:t>vs</w:t>
      </w:r>
      <w:proofErr w:type="spellEnd"/>
      <w:r w:rsidRPr="00105DA9">
        <w:rPr>
          <w:highlight w:val="green"/>
        </w:rPr>
        <w:t xml:space="preserve"> historical cost pg. 249</w:t>
      </w:r>
    </w:p>
    <w:p w14:paraId="71E7EB31" w14:textId="0CF1A69D" w:rsidR="00C61D97" w:rsidRPr="00105DA9" w:rsidRDefault="00C61D97" w:rsidP="00C61D97">
      <w:pPr>
        <w:pStyle w:val="ListParagraph"/>
        <w:numPr>
          <w:ilvl w:val="1"/>
          <w:numId w:val="80"/>
        </w:numPr>
        <w:tabs>
          <w:tab w:val="left" w:pos="3060"/>
        </w:tabs>
        <w:spacing w:line="240" w:lineRule="auto"/>
        <w:rPr>
          <w:b/>
          <w:highlight w:val="green"/>
        </w:rPr>
      </w:pPr>
      <w:r w:rsidRPr="00105DA9">
        <w:rPr>
          <w:highlight w:val="green"/>
        </w:rPr>
        <w:t>She will not be discussing this</w:t>
      </w:r>
    </w:p>
    <w:p w14:paraId="315F9282" w14:textId="3A84649C" w:rsidR="00C61D97" w:rsidRPr="00105DA9" w:rsidRDefault="00C61D97" w:rsidP="00C61D97">
      <w:pPr>
        <w:pStyle w:val="ListParagraph"/>
        <w:numPr>
          <w:ilvl w:val="1"/>
          <w:numId w:val="80"/>
        </w:numPr>
        <w:tabs>
          <w:tab w:val="left" w:pos="3060"/>
        </w:tabs>
        <w:spacing w:line="240" w:lineRule="auto"/>
        <w:rPr>
          <w:b/>
          <w:highlight w:val="green"/>
        </w:rPr>
      </w:pPr>
      <w:r w:rsidRPr="00105DA9">
        <w:rPr>
          <w:highlight w:val="green"/>
        </w:rPr>
        <w:t>Everything else is on it</w:t>
      </w:r>
    </w:p>
    <w:p w14:paraId="04149748" w14:textId="0E77B555" w:rsidR="00C61D97" w:rsidRPr="00105DA9" w:rsidRDefault="00C61D97" w:rsidP="00C61D97">
      <w:pPr>
        <w:pStyle w:val="ListParagraph"/>
        <w:numPr>
          <w:ilvl w:val="0"/>
          <w:numId w:val="80"/>
        </w:numPr>
        <w:tabs>
          <w:tab w:val="left" w:pos="3060"/>
        </w:tabs>
        <w:spacing w:line="240" w:lineRule="auto"/>
        <w:rPr>
          <w:b/>
          <w:highlight w:val="green"/>
        </w:rPr>
      </w:pPr>
      <w:r w:rsidRPr="00105DA9">
        <w:rPr>
          <w:b/>
          <w:highlight w:val="green"/>
        </w:rPr>
        <w:t>Page 253 – The prof stopped using the slides</w:t>
      </w:r>
    </w:p>
    <w:p w14:paraId="26D5D838" w14:textId="77777777" w:rsidR="00C61D97" w:rsidRPr="00105DA9" w:rsidRDefault="00C61D97" w:rsidP="00C61D97">
      <w:pPr>
        <w:pStyle w:val="ListParagraph"/>
        <w:numPr>
          <w:ilvl w:val="1"/>
          <w:numId w:val="80"/>
        </w:numPr>
        <w:tabs>
          <w:tab w:val="left" w:pos="3060"/>
        </w:tabs>
        <w:spacing w:line="240" w:lineRule="auto"/>
        <w:rPr>
          <w:b/>
          <w:highlight w:val="green"/>
        </w:rPr>
      </w:pPr>
      <w:r w:rsidRPr="00105DA9">
        <w:rPr>
          <w:b/>
          <w:highlight w:val="green"/>
        </w:rPr>
        <w:t xml:space="preserve">IFRS 9 </w:t>
      </w:r>
    </w:p>
    <w:p w14:paraId="52FB51A3" w14:textId="640F24AF" w:rsidR="00C61D97" w:rsidRPr="00105DA9" w:rsidRDefault="00C61D97" w:rsidP="00C61D97">
      <w:pPr>
        <w:pStyle w:val="ListParagraph"/>
        <w:numPr>
          <w:ilvl w:val="1"/>
          <w:numId w:val="80"/>
        </w:numPr>
        <w:tabs>
          <w:tab w:val="left" w:pos="3060"/>
        </w:tabs>
        <w:spacing w:line="240" w:lineRule="auto"/>
        <w:rPr>
          <w:b/>
          <w:highlight w:val="green"/>
        </w:rPr>
      </w:pPr>
      <w:proofErr w:type="spellStart"/>
      <w:proofErr w:type="gramStart"/>
      <w:r w:rsidRPr="00105DA9">
        <w:rPr>
          <w:b/>
          <w:highlight w:val="green"/>
        </w:rPr>
        <w:t>derecognition</w:t>
      </w:r>
      <w:proofErr w:type="spellEnd"/>
      <w:proofErr w:type="gramEnd"/>
      <w:r w:rsidRPr="00105DA9">
        <w:rPr>
          <w:b/>
          <w:highlight w:val="green"/>
        </w:rPr>
        <w:t xml:space="preserve"> and consolidation</w:t>
      </w:r>
    </w:p>
    <w:p w14:paraId="21742C90" w14:textId="11B8736A" w:rsidR="00C61D97" w:rsidRPr="00105DA9" w:rsidRDefault="00C61D97" w:rsidP="00C61D97">
      <w:pPr>
        <w:pStyle w:val="ListParagraph"/>
        <w:numPr>
          <w:ilvl w:val="1"/>
          <w:numId w:val="80"/>
        </w:numPr>
        <w:tabs>
          <w:tab w:val="left" w:pos="3060"/>
        </w:tabs>
        <w:spacing w:line="240" w:lineRule="auto"/>
        <w:rPr>
          <w:b/>
          <w:highlight w:val="green"/>
        </w:rPr>
      </w:pPr>
      <w:r w:rsidRPr="00105DA9">
        <w:rPr>
          <w:b/>
          <w:highlight w:val="green"/>
        </w:rPr>
        <w:t>Only know the accounting treatments not the major details</w:t>
      </w:r>
    </w:p>
    <w:p w14:paraId="33DEEF8E" w14:textId="266D082B" w:rsidR="00FE62DB" w:rsidRPr="00105DA9" w:rsidRDefault="00FE62DB" w:rsidP="00FE62DB">
      <w:pPr>
        <w:tabs>
          <w:tab w:val="left" w:pos="3060"/>
        </w:tabs>
        <w:spacing w:line="240" w:lineRule="auto"/>
        <w:rPr>
          <w:b/>
          <w:highlight w:val="green"/>
        </w:rPr>
      </w:pPr>
      <w:r w:rsidRPr="00105DA9">
        <w:rPr>
          <w:b/>
          <w:highlight w:val="green"/>
        </w:rPr>
        <w:t>7.6 Derivative Financial Instruments</w:t>
      </w:r>
    </w:p>
    <w:p w14:paraId="1E831944" w14:textId="043B895C" w:rsidR="00FE62DB" w:rsidRPr="00105DA9" w:rsidRDefault="00FE62DB" w:rsidP="00FE62DB">
      <w:pPr>
        <w:pStyle w:val="ListParagraph"/>
        <w:numPr>
          <w:ilvl w:val="0"/>
          <w:numId w:val="81"/>
        </w:numPr>
        <w:tabs>
          <w:tab w:val="left" w:pos="3060"/>
        </w:tabs>
        <w:spacing w:line="240" w:lineRule="auto"/>
        <w:rPr>
          <w:b/>
          <w:highlight w:val="green"/>
        </w:rPr>
      </w:pPr>
      <w:r w:rsidRPr="00105DA9">
        <w:rPr>
          <w:b/>
          <w:highlight w:val="green"/>
        </w:rPr>
        <w:t>Hedge accounting – is important</w:t>
      </w:r>
      <w:r w:rsidR="005C38F6" w:rsidRPr="00105DA9">
        <w:rPr>
          <w:b/>
          <w:highlight w:val="green"/>
        </w:rPr>
        <w:t xml:space="preserve"> – still needs to be decided if this topic will be tested on</w:t>
      </w:r>
    </w:p>
    <w:p w14:paraId="289C4A4A" w14:textId="10E7DBBD" w:rsidR="00FE62DB" w:rsidRPr="00105DA9" w:rsidRDefault="005C38F6" w:rsidP="00FE62DB">
      <w:pPr>
        <w:pStyle w:val="ListParagraph"/>
        <w:numPr>
          <w:ilvl w:val="0"/>
          <w:numId w:val="81"/>
        </w:numPr>
        <w:tabs>
          <w:tab w:val="left" w:pos="3060"/>
        </w:tabs>
        <w:spacing w:line="240" w:lineRule="auto"/>
        <w:rPr>
          <w:b/>
          <w:highlight w:val="green"/>
        </w:rPr>
      </w:pPr>
      <w:r w:rsidRPr="00105DA9">
        <w:rPr>
          <w:b/>
          <w:highlight w:val="green"/>
        </w:rPr>
        <w:t xml:space="preserve">There will be no questions on </w:t>
      </w:r>
      <w:proofErr w:type="spellStart"/>
      <w:r w:rsidRPr="00105DA9">
        <w:rPr>
          <w:b/>
          <w:highlight w:val="green"/>
        </w:rPr>
        <w:t>blackscholes</w:t>
      </w:r>
      <w:proofErr w:type="spellEnd"/>
      <w:r w:rsidRPr="00105DA9">
        <w:rPr>
          <w:b/>
          <w:highlight w:val="green"/>
        </w:rPr>
        <w:t xml:space="preserve"> model</w:t>
      </w:r>
    </w:p>
    <w:p w14:paraId="1A3225FB" w14:textId="10B92D16" w:rsidR="005C38F6" w:rsidRPr="00105DA9" w:rsidRDefault="005C38F6" w:rsidP="005C38F6">
      <w:pPr>
        <w:pStyle w:val="ListParagraph"/>
        <w:numPr>
          <w:ilvl w:val="1"/>
          <w:numId w:val="81"/>
        </w:numPr>
        <w:tabs>
          <w:tab w:val="left" w:pos="3060"/>
        </w:tabs>
        <w:spacing w:line="240" w:lineRule="auto"/>
        <w:rPr>
          <w:b/>
          <w:highlight w:val="green"/>
        </w:rPr>
      </w:pPr>
      <w:r w:rsidRPr="00105DA9">
        <w:rPr>
          <w:b/>
          <w:highlight w:val="green"/>
        </w:rPr>
        <w:t>But we should know the variables</w:t>
      </w:r>
    </w:p>
    <w:p w14:paraId="504CFA89" w14:textId="77777777" w:rsidR="00C61D97" w:rsidRPr="00C61D97" w:rsidRDefault="00C61D97" w:rsidP="00C61D97">
      <w:pPr>
        <w:tabs>
          <w:tab w:val="left" w:pos="3060"/>
        </w:tabs>
        <w:spacing w:line="240" w:lineRule="auto"/>
        <w:rPr>
          <w:b/>
        </w:rPr>
      </w:pPr>
    </w:p>
    <w:p w14:paraId="302F834E" w14:textId="77777777" w:rsidR="00496A98" w:rsidRPr="005C38F6" w:rsidRDefault="00496A98" w:rsidP="00496A98">
      <w:pPr>
        <w:tabs>
          <w:tab w:val="left" w:pos="3060"/>
        </w:tabs>
        <w:rPr>
          <w:b/>
          <w:highlight w:val="green"/>
        </w:rPr>
      </w:pPr>
      <w:r w:rsidRPr="005C38F6">
        <w:rPr>
          <w:b/>
          <w:highlight w:val="green"/>
        </w:rPr>
        <w:t>7.8 Accounting for Intangibles</w:t>
      </w:r>
    </w:p>
    <w:p w14:paraId="29CD1677" w14:textId="77777777" w:rsidR="00496A98" w:rsidRPr="005C38F6" w:rsidRDefault="00496A98" w:rsidP="00AB6285">
      <w:pPr>
        <w:pStyle w:val="ListParagraph"/>
        <w:numPr>
          <w:ilvl w:val="0"/>
          <w:numId w:val="77"/>
        </w:numPr>
        <w:tabs>
          <w:tab w:val="left" w:pos="3060"/>
        </w:tabs>
        <w:rPr>
          <w:highlight w:val="green"/>
        </w:rPr>
      </w:pPr>
      <w:r w:rsidRPr="005C38F6">
        <w:rPr>
          <w:highlight w:val="green"/>
        </w:rPr>
        <w:lastRenderedPageBreak/>
        <w:t>Intangible assets are capital assets that do not have physical substance (patents, trademarks, franchises, good workforce, location, restructurings, information technology, goodwill)</w:t>
      </w:r>
    </w:p>
    <w:p w14:paraId="3BE38B04" w14:textId="77777777" w:rsidR="00496A98" w:rsidRPr="005C38F6" w:rsidRDefault="00496A98" w:rsidP="00AB6285">
      <w:pPr>
        <w:pStyle w:val="ListParagraph"/>
        <w:numPr>
          <w:ilvl w:val="0"/>
          <w:numId w:val="77"/>
        </w:numPr>
        <w:tabs>
          <w:tab w:val="left" w:pos="3060"/>
        </w:tabs>
        <w:rPr>
          <w:highlight w:val="green"/>
        </w:rPr>
      </w:pPr>
      <w:r w:rsidRPr="005C38F6">
        <w:rPr>
          <w:highlight w:val="green"/>
        </w:rPr>
        <w:t>If purchased or self-developed with reasonable certainty of future net benefits, they are valued at cost and amortized over their useful lives</w:t>
      </w:r>
    </w:p>
    <w:p w14:paraId="2358E7FE" w14:textId="77777777" w:rsidR="00496A98" w:rsidRPr="005C38F6" w:rsidRDefault="00496A98" w:rsidP="00AB6285">
      <w:pPr>
        <w:pStyle w:val="ListParagraph"/>
        <w:numPr>
          <w:ilvl w:val="0"/>
          <w:numId w:val="77"/>
        </w:numPr>
        <w:tabs>
          <w:tab w:val="left" w:pos="3060"/>
        </w:tabs>
        <w:rPr>
          <w:highlight w:val="green"/>
        </w:rPr>
      </w:pPr>
      <w:r w:rsidRPr="005C38F6">
        <w:rPr>
          <w:highlight w:val="green"/>
        </w:rPr>
        <w:t>If acquired in a business combination and fair value can be determined reliably, cost is equal to the fair value at acquisition – these are subject to ceiling tests</w:t>
      </w:r>
    </w:p>
    <w:p w14:paraId="24C8BAAA" w14:textId="77777777" w:rsidR="00496A98" w:rsidRPr="005C38F6" w:rsidRDefault="00496A98" w:rsidP="00AB6285">
      <w:pPr>
        <w:pStyle w:val="ListParagraph"/>
        <w:numPr>
          <w:ilvl w:val="0"/>
          <w:numId w:val="77"/>
        </w:numPr>
        <w:tabs>
          <w:tab w:val="left" w:pos="3060"/>
        </w:tabs>
        <w:rPr>
          <w:highlight w:val="green"/>
        </w:rPr>
      </w:pPr>
      <w:r w:rsidRPr="005C38F6">
        <w:rPr>
          <w:highlight w:val="green"/>
        </w:rPr>
        <w:t>Fair values can be hard to establish reliably – particularly if self-developed</w:t>
      </w:r>
    </w:p>
    <w:p w14:paraId="43ADD8DC" w14:textId="77777777" w:rsidR="00496A98" w:rsidRPr="005C38F6" w:rsidRDefault="00496A98" w:rsidP="00AB6285">
      <w:pPr>
        <w:pStyle w:val="ListParagraph"/>
        <w:numPr>
          <w:ilvl w:val="0"/>
          <w:numId w:val="77"/>
        </w:numPr>
        <w:tabs>
          <w:tab w:val="left" w:pos="3060"/>
        </w:tabs>
        <w:rPr>
          <w:highlight w:val="green"/>
        </w:rPr>
      </w:pPr>
      <w:r w:rsidRPr="005C38F6">
        <w:rPr>
          <w:highlight w:val="green"/>
        </w:rPr>
        <w:t>Research costs do not appear on the balance sheet – expensed as incurred</w:t>
      </w:r>
    </w:p>
    <w:p w14:paraId="7F65463C" w14:textId="77777777" w:rsidR="00496A98" w:rsidRPr="005C38F6" w:rsidRDefault="00496A98" w:rsidP="00AB6285">
      <w:pPr>
        <w:pStyle w:val="ListParagraph"/>
        <w:numPr>
          <w:ilvl w:val="1"/>
          <w:numId w:val="77"/>
        </w:numPr>
        <w:tabs>
          <w:tab w:val="left" w:pos="3060"/>
        </w:tabs>
        <w:rPr>
          <w:highlight w:val="green"/>
        </w:rPr>
      </w:pPr>
      <w:r w:rsidRPr="005C38F6">
        <w:rPr>
          <w:highlight w:val="green"/>
        </w:rPr>
        <w:t>Recognition lag – they appear on the income statement</w:t>
      </w:r>
    </w:p>
    <w:p w14:paraId="6B447596" w14:textId="77777777" w:rsidR="00496A98" w:rsidRPr="005C38F6" w:rsidRDefault="00496A98" w:rsidP="00AB6285">
      <w:pPr>
        <w:pStyle w:val="ListParagraph"/>
        <w:numPr>
          <w:ilvl w:val="0"/>
          <w:numId w:val="77"/>
        </w:numPr>
        <w:tabs>
          <w:tab w:val="left" w:pos="3060"/>
        </w:tabs>
        <w:rPr>
          <w:highlight w:val="green"/>
        </w:rPr>
      </w:pPr>
      <w:r w:rsidRPr="005C38F6">
        <w:rPr>
          <w:highlight w:val="green"/>
        </w:rPr>
        <w:t>Goodwill exists if the firm earns more than its cost of capital on its net assets</w:t>
      </w:r>
    </w:p>
    <w:p w14:paraId="3C5FFD32" w14:textId="77777777" w:rsidR="00496A98" w:rsidRPr="005C38F6" w:rsidRDefault="00496A98" w:rsidP="00AB6285">
      <w:pPr>
        <w:pStyle w:val="ListParagraph"/>
        <w:numPr>
          <w:ilvl w:val="0"/>
          <w:numId w:val="77"/>
        </w:numPr>
        <w:tabs>
          <w:tab w:val="left" w:pos="3060"/>
        </w:tabs>
        <w:rPr>
          <w:highlight w:val="green"/>
        </w:rPr>
      </w:pPr>
      <w:r w:rsidRPr="005C38F6">
        <w:rPr>
          <w:highlight w:val="green"/>
        </w:rPr>
        <w:t>Should goodwill remain off the balance sheet or should its fair value be measured and reported on the balance sheet?</w:t>
      </w:r>
    </w:p>
    <w:p w14:paraId="49812AD3" w14:textId="77777777" w:rsidR="00496A98" w:rsidRPr="005C38F6" w:rsidRDefault="00496A98" w:rsidP="00AB6285">
      <w:pPr>
        <w:pStyle w:val="ListParagraph"/>
        <w:numPr>
          <w:ilvl w:val="1"/>
          <w:numId w:val="77"/>
        </w:numPr>
        <w:tabs>
          <w:tab w:val="left" w:pos="3060"/>
        </w:tabs>
        <w:rPr>
          <w:highlight w:val="green"/>
        </w:rPr>
      </w:pPr>
      <w:r w:rsidRPr="005C38F6">
        <w:rPr>
          <w:highlight w:val="green"/>
        </w:rPr>
        <w:t>Reporting of goodwill has potential for increased decision usefulness, since this may reveal management’s inside information about future expected earnings power</w:t>
      </w:r>
    </w:p>
    <w:p w14:paraId="7B54BB50" w14:textId="77777777" w:rsidR="00496A98" w:rsidRPr="005C38F6" w:rsidRDefault="00496A98" w:rsidP="00AB6285">
      <w:pPr>
        <w:pStyle w:val="ListParagraph"/>
        <w:numPr>
          <w:ilvl w:val="1"/>
          <w:numId w:val="77"/>
        </w:numPr>
        <w:tabs>
          <w:tab w:val="left" w:pos="3060"/>
        </w:tabs>
        <w:rPr>
          <w:highlight w:val="green"/>
        </w:rPr>
      </w:pPr>
      <w:r w:rsidRPr="005C38F6">
        <w:rPr>
          <w:highlight w:val="green"/>
        </w:rPr>
        <w:t xml:space="preserve">Reporting goodwill creates serious problems of reliability </w:t>
      </w:r>
    </w:p>
    <w:p w14:paraId="7CA2E405" w14:textId="77777777" w:rsidR="00496A98" w:rsidRPr="005C38F6" w:rsidRDefault="00496A98" w:rsidP="00496A98">
      <w:pPr>
        <w:tabs>
          <w:tab w:val="left" w:pos="3060"/>
        </w:tabs>
        <w:rPr>
          <w:b/>
          <w:highlight w:val="green"/>
        </w:rPr>
      </w:pPr>
      <w:r w:rsidRPr="005C38F6">
        <w:rPr>
          <w:b/>
          <w:highlight w:val="green"/>
        </w:rPr>
        <w:t>7.8.2 Accounting for Purchased Goodwill</w:t>
      </w:r>
    </w:p>
    <w:p w14:paraId="10128CAE" w14:textId="77777777" w:rsidR="00496A98" w:rsidRPr="005C38F6" w:rsidRDefault="00496A98" w:rsidP="00AB6285">
      <w:pPr>
        <w:pStyle w:val="ListParagraph"/>
        <w:numPr>
          <w:ilvl w:val="0"/>
          <w:numId w:val="78"/>
        </w:numPr>
        <w:tabs>
          <w:tab w:val="left" w:pos="3060"/>
        </w:tabs>
        <w:rPr>
          <w:highlight w:val="green"/>
        </w:rPr>
      </w:pPr>
      <w:r w:rsidRPr="005C38F6">
        <w:rPr>
          <w:highlight w:val="green"/>
        </w:rPr>
        <w:t>When one firm acquires another in a business combination, the purchase method of accounting for the transaction requires that the tangible and identifiable intangible assets and the liabilities of the acquired company be generally valued at their fair values for purposes of the consolidated financial statements</w:t>
      </w:r>
    </w:p>
    <w:p w14:paraId="32ABA23D" w14:textId="77777777" w:rsidR="00496A98" w:rsidRPr="005C38F6" w:rsidRDefault="00496A98" w:rsidP="00AB6285">
      <w:pPr>
        <w:pStyle w:val="ListParagraph"/>
        <w:numPr>
          <w:ilvl w:val="1"/>
          <w:numId w:val="78"/>
        </w:numPr>
        <w:tabs>
          <w:tab w:val="left" w:pos="3060"/>
        </w:tabs>
        <w:rPr>
          <w:highlight w:val="green"/>
        </w:rPr>
      </w:pPr>
      <w:r w:rsidRPr="005C38F6">
        <w:rPr>
          <w:highlight w:val="green"/>
        </w:rPr>
        <w:t>Goodwill = Fair value of assets/liabilities – Purchase Price</w:t>
      </w:r>
    </w:p>
    <w:p w14:paraId="7D7BCC62" w14:textId="77777777" w:rsidR="00FE0C11" w:rsidRPr="005C38F6" w:rsidRDefault="00FE0C11" w:rsidP="00AB6285">
      <w:pPr>
        <w:pStyle w:val="ListParagraph"/>
        <w:numPr>
          <w:ilvl w:val="0"/>
          <w:numId w:val="78"/>
        </w:numPr>
        <w:tabs>
          <w:tab w:val="left" w:pos="3060"/>
        </w:tabs>
        <w:rPr>
          <w:highlight w:val="green"/>
        </w:rPr>
      </w:pPr>
      <w:r w:rsidRPr="005C38F6">
        <w:rPr>
          <w:highlight w:val="green"/>
        </w:rPr>
        <w:t>Management has attempted to circumvent goodwill amortization:</w:t>
      </w:r>
    </w:p>
    <w:p w14:paraId="115CBDB8" w14:textId="77777777" w:rsidR="00FE0C11" w:rsidRPr="005C38F6" w:rsidRDefault="00FE0C11" w:rsidP="00AB6285">
      <w:pPr>
        <w:pStyle w:val="ListParagraph"/>
        <w:numPr>
          <w:ilvl w:val="1"/>
          <w:numId w:val="78"/>
        </w:numPr>
        <w:tabs>
          <w:tab w:val="left" w:pos="3060"/>
        </w:tabs>
        <w:rPr>
          <w:highlight w:val="green"/>
        </w:rPr>
      </w:pPr>
      <w:r w:rsidRPr="005C38F6">
        <w:rPr>
          <w:highlight w:val="green"/>
        </w:rPr>
        <w:t>1. Pooling of Interests</w:t>
      </w:r>
    </w:p>
    <w:p w14:paraId="2DE707E6" w14:textId="77777777" w:rsidR="00FE0C11" w:rsidRPr="005C38F6" w:rsidRDefault="00FE0C11" w:rsidP="00AB6285">
      <w:pPr>
        <w:pStyle w:val="ListParagraph"/>
        <w:numPr>
          <w:ilvl w:val="2"/>
          <w:numId w:val="78"/>
        </w:numPr>
        <w:tabs>
          <w:tab w:val="left" w:pos="3060"/>
        </w:tabs>
        <w:rPr>
          <w:highlight w:val="green"/>
        </w:rPr>
      </w:pPr>
      <w:r w:rsidRPr="005C38F6">
        <w:rPr>
          <w:highlight w:val="green"/>
        </w:rPr>
        <w:t>The balance sheets of the merged entities are simply added together and no new purchased goodwill is recognized</w:t>
      </w:r>
    </w:p>
    <w:p w14:paraId="1326C40C" w14:textId="77777777" w:rsidR="00FE0C11" w:rsidRPr="005C38F6" w:rsidRDefault="00FE0C11" w:rsidP="00AB6285">
      <w:pPr>
        <w:pStyle w:val="ListParagraph"/>
        <w:numPr>
          <w:ilvl w:val="1"/>
          <w:numId w:val="78"/>
        </w:numPr>
        <w:tabs>
          <w:tab w:val="left" w:pos="3060"/>
        </w:tabs>
        <w:rPr>
          <w:highlight w:val="green"/>
        </w:rPr>
      </w:pPr>
      <w:r w:rsidRPr="005C38F6">
        <w:rPr>
          <w:highlight w:val="green"/>
        </w:rPr>
        <w:t>2. Emphasize Pro-Forma Income</w:t>
      </w:r>
    </w:p>
    <w:p w14:paraId="513BAA65" w14:textId="77777777" w:rsidR="00FE0C11" w:rsidRPr="005C38F6" w:rsidRDefault="00FE0C11" w:rsidP="00AB6285">
      <w:pPr>
        <w:pStyle w:val="ListParagraph"/>
        <w:numPr>
          <w:ilvl w:val="2"/>
          <w:numId w:val="78"/>
        </w:numPr>
        <w:tabs>
          <w:tab w:val="left" w:pos="3060"/>
        </w:tabs>
        <w:rPr>
          <w:highlight w:val="green"/>
        </w:rPr>
      </w:pPr>
      <w:r w:rsidRPr="005C38F6">
        <w:rPr>
          <w:highlight w:val="green"/>
        </w:rPr>
        <w:t>Pro-forma income is net income before goodwill amortization, restructuring charges</w:t>
      </w:r>
    </w:p>
    <w:p w14:paraId="7904BAB5" w14:textId="77777777" w:rsidR="00FE0C11" w:rsidRPr="005C38F6" w:rsidRDefault="00FE0C11" w:rsidP="00AB6285">
      <w:pPr>
        <w:pStyle w:val="ListParagraph"/>
        <w:numPr>
          <w:ilvl w:val="2"/>
          <w:numId w:val="78"/>
        </w:numPr>
        <w:tabs>
          <w:tab w:val="left" w:pos="3060"/>
        </w:tabs>
        <w:rPr>
          <w:highlight w:val="green"/>
        </w:rPr>
      </w:pPr>
      <w:r w:rsidRPr="005C38F6">
        <w:rPr>
          <w:highlight w:val="green"/>
        </w:rPr>
        <w:t>GAAP income statement not affected but pro-forma income is emphasized in earnings announcements, messages to shareholders, MD&amp;A, etc.</w:t>
      </w:r>
    </w:p>
    <w:p w14:paraId="457B9FAC" w14:textId="77777777" w:rsidR="00FE0C11" w:rsidRPr="005C38F6" w:rsidRDefault="00FE0C11" w:rsidP="00AB6285">
      <w:pPr>
        <w:pStyle w:val="ListParagraph"/>
        <w:numPr>
          <w:ilvl w:val="2"/>
          <w:numId w:val="78"/>
        </w:numPr>
        <w:tabs>
          <w:tab w:val="left" w:pos="3060"/>
        </w:tabs>
        <w:rPr>
          <w:highlight w:val="green"/>
        </w:rPr>
      </w:pPr>
      <w:r w:rsidRPr="005C38F6">
        <w:rPr>
          <w:highlight w:val="green"/>
        </w:rPr>
        <w:t>Management seeks to convince investors that goodwill amortization is not relevant to the evaluation of the performance of the consolidated entity</w:t>
      </w:r>
    </w:p>
    <w:p w14:paraId="32A9754F" w14:textId="77777777" w:rsidR="00FE0C11" w:rsidRPr="005C38F6" w:rsidRDefault="00FE0C11" w:rsidP="00AB6285">
      <w:pPr>
        <w:pStyle w:val="ListParagraph"/>
        <w:numPr>
          <w:ilvl w:val="2"/>
          <w:numId w:val="78"/>
        </w:numPr>
        <w:tabs>
          <w:tab w:val="left" w:pos="3060"/>
        </w:tabs>
        <w:rPr>
          <w:highlight w:val="green"/>
        </w:rPr>
      </w:pPr>
      <w:r w:rsidRPr="005C38F6">
        <w:rPr>
          <w:highlight w:val="green"/>
        </w:rPr>
        <w:t>Criticisms were that management may overpay in business acquisitions and that emphasizing pro-forma income may mislead investors</w:t>
      </w:r>
    </w:p>
    <w:p w14:paraId="2A0619CA" w14:textId="77777777" w:rsidR="00FE0C11" w:rsidRPr="005C38F6" w:rsidRDefault="00FE0C11" w:rsidP="00AB6285">
      <w:pPr>
        <w:pStyle w:val="ListParagraph"/>
        <w:numPr>
          <w:ilvl w:val="0"/>
          <w:numId w:val="78"/>
        </w:numPr>
        <w:tabs>
          <w:tab w:val="left" w:pos="3060"/>
        </w:tabs>
        <w:rPr>
          <w:highlight w:val="green"/>
        </w:rPr>
      </w:pPr>
      <w:r w:rsidRPr="005C38F6">
        <w:rPr>
          <w:highlight w:val="green"/>
        </w:rPr>
        <w:t>Standard setters have subsequently eliminated the amortization of purchased goodwill</w:t>
      </w:r>
    </w:p>
    <w:p w14:paraId="471815CD" w14:textId="77777777" w:rsidR="00FE0C11" w:rsidRPr="005C38F6" w:rsidRDefault="00FE0C11" w:rsidP="00AB6285">
      <w:pPr>
        <w:pStyle w:val="ListParagraph"/>
        <w:numPr>
          <w:ilvl w:val="1"/>
          <w:numId w:val="78"/>
        </w:numPr>
        <w:tabs>
          <w:tab w:val="left" w:pos="3060"/>
        </w:tabs>
        <w:rPr>
          <w:highlight w:val="green"/>
        </w:rPr>
      </w:pPr>
      <w:r w:rsidRPr="005C38F6">
        <w:rPr>
          <w:highlight w:val="green"/>
        </w:rPr>
        <w:t>Substantial movement towards the measurement approach</w:t>
      </w:r>
    </w:p>
    <w:p w14:paraId="020934E4" w14:textId="77777777" w:rsidR="00FE0C11" w:rsidRPr="005C38F6" w:rsidRDefault="00FE0C11" w:rsidP="00AB6285">
      <w:pPr>
        <w:pStyle w:val="ListParagraph"/>
        <w:numPr>
          <w:ilvl w:val="1"/>
          <w:numId w:val="78"/>
        </w:numPr>
        <w:tabs>
          <w:tab w:val="left" w:pos="3060"/>
        </w:tabs>
        <w:rPr>
          <w:highlight w:val="green"/>
        </w:rPr>
      </w:pPr>
      <w:r w:rsidRPr="005C38F6">
        <w:rPr>
          <w:highlight w:val="green"/>
        </w:rPr>
        <w:t>Goodwill on the balance sheet @ fair value – at evidence of impairment, ceiling test applied to write goodwill down to fair value</w:t>
      </w:r>
    </w:p>
    <w:p w14:paraId="363EB305" w14:textId="77777777" w:rsidR="005B164D" w:rsidRPr="005C38F6" w:rsidRDefault="005B164D" w:rsidP="00AB6285">
      <w:pPr>
        <w:pStyle w:val="ListParagraph"/>
        <w:numPr>
          <w:ilvl w:val="1"/>
          <w:numId w:val="78"/>
        </w:numPr>
        <w:tabs>
          <w:tab w:val="left" w:pos="3060"/>
        </w:tabs>
        <w:rPr>
          <w:highlight w:val="green"/>
        </w:rPr>
      </w:pPr>
      <w:r w:rsidRPr="005C38F6">
        <w:rPr>
          <w:highlight w:val="green"/>
        </w:rPr>
        <w:t>Ceiling tests require judgement (amount and timing) – reliability concerns</w:t>
      </w:r>
    </w:p>
    <w:p w14:paraId="1E669665" w14:textId="77777777" w:rsidR="005B164D" w:rsidRPr="005C38F6" w:rsidRDefault="005B164D" w:rsidP="005B164D">
      <w:pPr>
        <w:tabs>
          <w:tab w:val="left" w:pos="3060"/>
        </w:tabs>
        <w:rPr>
          <w:b/>
          <w:highlight w:val="green"/>
        </w:rPr>
      </w:pPr>
      <w:r w:rsidRPr="005C38F6">
        <w:rPr>
          <w:b/>
          <w:highlight w:val="green"/>
        </w:rPr>
        <w:t>7.8.3 Self-Developed Goodwill</w:t>
      </w:r>
    </w:p>
    <w:p w14:paraId="60A4676C" w14:textId="77777777" w:rsidR="005B164D" w:rsidRPr="005C38F6" w:rsidRDefault="005B164D" w:rsidP="00AB6285">
      <w:pPr>
        <w:pStyle w:val="ListParagraph"/>
        <w:numPr>
          <w:ilvl w:val="0"/>
          <w:numId w:val="79"/>
        </w:numPr>
        <w:tabs>
          <w:tab w:val="left" w:pos="3060"/>
        </w:tabs>
        <w:rPr>
          <w:highlight w:val="green"/>
        </w:rPr>
      </w:pPr>
      <w:r w:rsidRPr="005C38F6">
        <w:rPr>
          <w:highlight w:val="green"/>
        </w:rPr>
        <w:lastRenderedPageBreak/>
        <w:t>Lev’s study on value relevance:</w:t>
      </w:r>
    </w:p>
    <w:p w14:paraId="1E20860F" w14:textId="2C4B98BD" w:rsidR="005B164D" w:rsidRPr="005C38F6" w:rsidRDefault="005B164D" w:rsidP="00AB6285">
      <w:pPr>
        <w:pStyle w:val="ListParagraph"/>
        <w:numPr>
          <w:ilvl w:val="1"/>
          <w:numId w:val="79"/>
        </w:numPr>
        <w:tabs>
          <w:tab w:val="left" w:pos="3060"/>
        </w:tabs>
        <w:rPr>
          <w:highlight w:val="green"/>
        </w:rPr>
      </w:pPr>
      <w:r w:rsidRPr="005C38F6">
        <w:rPr>
          <w:highlight w:val="green"/>
        </w:rPr>
        <w:t xml:space="preserve">Investors are sophisticated enough to extract the information content from the income statement to make investment decisions – therefore, net income </w:t>
      </w:r>
      <w:r w:rsidR="00540DD2" w:rsidRPr="005C38F6">
        <w:rPr>
          <w:highlight w:val="green"/>
        </w:rPr>
        <w:t>is not usefu</w:t>
      </w:r>
      <w:r w:rsidR="00D0218A" w:rsidRPr="005C38F6">
        <w:rPr>
          <w:highlight w:val="green"/>
        </w:rPr>
        <w:t>l and cannot explain all changes</w:t>
      </w:r>
      <w:r w:rsidR="00540DD2" w:rsidRPr="005C38F6">
        <w:rPr>
          <w:highlight w:val="green"/>
        </w:rPr>
        <w:t xml:space="preserve"> in share price</w:t>
      </w:r>
    </w:p>
    <w:p w14:paraId="60C3AF89" w14:textId="77777777" w:rsidR="00540DD2" w:rsidRPr="005C38F6" w:rsidRDefault="00540DD2" w:rsidP="00AB6285">
      <w:pPr>
        <w:pStyle w:val="ListParagraph"/>
        <w:numPr>
          <w:ilvl w:val="0"/>
          <w:numId w:val="79"/>
        </w:numPr>
        <w:tabs>
          <w:tab w:val="left" w:pos="3060"/>
        </w:tabs>
        <w:rPr>
          <w:highlight w:val="green"/>
        </w:rPr>
      </w:pPr>
      <w:r w:rsidRPr="005C38F6">
        <w:rPr>
          <w:highlight w:val="green"/>
        </w:rPr>
        <w:t>R&amp;D expenses force net income down, but investors expect positive results from R&amp;D and so they may bid up share price</w:t>
      </w:r>
    </w:p>
    <w:p w14:paraId="4E31FC8D" w14:textId="77777777" w:rsidR="00540DD2" w:rsidRPr="005C38F6" w:rsidRDefault="00540DD2" w:rsidP="00AB6285">
      <w:pPr>
        <w:pStyle w:val="ListParagraph"/>
        <w:numPr>
          <w:ilvl w:val="1"/>
          <w:numId w:val="79"/>
        </w:numPr>
        <w:tabs>
          <w:tab w:val="left" w:pos="3060"/>
        </w:tabs>
        <w:rPr>
          <w:highlight w:val="green"/>
        </w:rPr>
      </w:pPr>
      <w:r w:rsidRPr="005C38F6">
        <w:rPr>
          <w:highlight w:val="green"/>
        </w:rPr>
        <w:t>Low association between abnormal share return and net income</w:t>
      </w:r>
    </w:p>
    <w:p w14:paraId="6EB288A2" w14:textId="77777777" w:rsidR="00540DD2" w:rsidRPr="005C38F6" w:rsidRDefault="00540DD2" w:rsidP="00AB6285">
      <w:pPr>
        <w:pStyle w:val="ListParagraph"/>
        <w:numPr>
          <w:ilvl w:val="1"/>
          <w:numId w:val="79"/>
        </w:numPr>
        <w:tabs>
          <w:tab w:val="left" w:pos="3060"/>
        </w:tabs>
        <w:rPr>
          <w:highlight w:val="green"/>
        </w:rPr>
      </w:pPr>
      <w:r w:rsidRPr="005C38F6">
        <w:rPr>
          <w:highlight w:val="green"/>
        </w:rPr>
        <w:t>Low, possibly negative ERC</w:t>
      </w:r>
    </w:p>
    <w:p w14:paraId="52309FC5" w14:textId="77777777" w:rsidR="00540DD2" w:rsidRPr="005C38F6" w:rsidRDefault="00540DD2" w:rsidP="00AB6285">
      <w:pPr>
        <w:pStyle w:val="ListParagraph"/>
        <w:numPr>
          <w:ilvl w:val="1"/>
          <w:numId w:val="79"/>
        </w:numPr>
        <w:tabs>
          <w:tab w:val="left" w:pos="3060"/>
        </w:tabs>
        <w:rPr>
          <w:highlight w:val="green"/>
        </w:rPr>
      </w:pPr>
      <w:r w:rsidRPr="005C38F6">
        <w:rPr>
          <w:highlight w:val="green"/>
        </w:rPr>
        <w:t>Lev argues these effects are a prime contributor to low ERC’s</w:t>
      </w:r>
    </w:p>
    <w:p w14:paraId="2E6E1837" w14:textId="77777777" w:rsidR="00540DD2" w:rsidRPr="005C38F6" w:rsidRDefault="00540DD2" w:rsidP="00AB6285">
      <w:pPr>
        <w:pStyle w:val="ListParagraph"/>
        <w:numPr>
          <w:ilvl w:val="0"/>
          <w:numId w:val="79"/>
        </w:numPr>
        <w:tabs>
          <w:tab w:val="left" w:pos="3060"/>
        </w:tabs>
        <w:rPr>
          <w:highlight w:val="green"/>
        </w:rPr>
      </w:pPr>
      <w:r w:rsidRPr="005C38F6">
        <w:rPr>
          <w:highlight w:val="green"/>
        </w:rPr>
        <w:t>Lev did a study on the share returns of firms that have high R&amp;D costs and firms that have low R&amp;D costs</w:t>
      </w:r>
    </w:p>
    <w:p w14:paraId="50A3D30A" w14:textId="77777777" w:rsidR="00540DD2" w:rsidRPr="005C38F6" w:rsidRDefault="00540DD2" w:rsidP="00AB6285">
      <w:pPr>
        <w:pStyle w:val="ListParagraph"/>
        <w:numPr>
          <w:ilvl w:val="1"/>
          <w:numId w:val="79"/>
        </w:numPr>
        <w:tabs>
          <w:tab w:val="left" w:pos="3060"/>
        </w:tabs>
        <w:rPr>
          <w:highlight w:val="green"/>
        </w:rPr>
      </w:pPr>
      <w:r w:rsidRPr="005C38F6">
        <w:rPr>
          <w:highlight w:val="green"/>
        </w:rPr>
        <w:t xml:space="preserve">They found that there was a significantly lower association between share returns and reported earnings (low ERC) for the sample of firms with high R&amp;D </w:t>
      </w:r>
    </w:p>
    <w:p w14:paraId="37E41767" w14:textId="77777777" w:rsidR="00540DD2" w:rsidRPr="005C38F6" w:rsidRDefault="00540DD2" w:rsidP="00AB6285">
      <w:pPr>
        <w:pStyle w:val="ListParagraph"/>
        <w:numPr>
          <w:ilvl w:val="0"/>
          <w:numId w:val="79"/>
        </w:numPr>
        <w:tabs>
          <w:tab w:val="left" w:pos="3060"/>
        </w:tabs>
        <w:rPr>
          <w:highlight w:val="green"/>
        </w:rPr>
      </w:pPr>
      <w:r w:rsidRPr="005C38F6">
        <w:rPr>
          <w:highlight w:val="green"/>
        </w:rPr>
        <w:t>LZ suggest to improve this low association, research costs should be capitalized much like development costs after meeting certain standardized feasibility tests</w:t>
      </w:r>
    </w:p>
    <w:p w14:paraId="44628C0E" w14:textId="77777777" w:rsidR="00540DD2" w:rsidRPr="005C38F6" w:rsidRDefault="00540DD2" w:rsidP="00AB6285">
      <w:pPr>
        <w:pStyle w:val="ListParagraph"/>
        <w:numPr>
          <w:ilvl w:val="0"/>
          <w:numId w:val="79"/>
        </w:numPr>
        <w:tabs>
          <w:tab w:val="left" w:pos="3060"/>
        </w:tabs>
        <w:rPr>
          <w:highlight w:val="green"/>
        </w:rPr>
      </w:pPr>
      <w:r w:rsidRPr="005C38F6">
        <w:rPr>
          <w:highlight w:val="green"/>
        </w:rPr>
        <w:t>Reluctance to capitalize research costs come from a decrease in reliability – how will the market separate successful and unsuccessful R&amp;D?</w:t>
      </w:r>
    </w:p>
    <w:p w14:paraId="13A3D36C" w14:textId="77777777" w:rsidR="000A1335" w:rsidRPr="005C38F6" w:rsidRDefault="000A1335" w:rsidP="00AB6285">
      <w:pPr>
        <w:pStyle w:val="ListParagraph"/>
        <w:numPr>
          <w:ilvl w:val="0"/>
          <w:numId w:val="79"/>
        </w:numPr>
        <w:tabs>
          <w:tab w:val="left" w:pos="3060"/>
        </w:tabs>
        <w:rPr>
          <w:highlight w:val="green"/>
        </w:rPr>
      </w:pPr>
      <w:r w:rsidRPr="005C38F6">
        <w:rPr>
          <w:highlight w:val="green"/>
        </w:rPr>
        <w:t>Since it is very difficult for an investor to separate successful and unsuccessful R&amp;D costs, this creates estimation risk</w:t>
      </w:r>
    </w:p>
    <w:p w14:paraId="0EF2A403" w14:textId="77777777" w:rsidR="000A1335" w:rsidRPr="005C38F6" w:rsidRDefault="000A1335" w:rsidP="00AB6285">
      <w:pPr>
        <w:pStyle w:val="ListParagraph"/>
        <w:numPr>
          <w:ilvl w:val="1"/>
          <w:numId w:val="79"/>
        </w:numPr>
        <w:tabs>
          <w:tab w:val="left" w:pos="3060"/>
        </w:tabs>
        <w:rPr>
          <w:highlight w:val="green"/>
        </w:rPr>
      </w:pPr>
      <w:r w:rsidRPr="005C38F6">
        <w:rPr>
          <w:highlight w:val="green"/>
        </w:rPr>
        <w:t>As a result, investors do not bid up the firm’s share price in response as much as they would under complete reliability</w:t>
      </w:r>
    </w:p>
    <w:p w14:paraId="0D8ACF66" w14:textId="77777777" w:rsidR="000A1335" w:rsidRDefault="000A1335" w:rsidP="000A1335">
      <w:pPr>
        <w:pStyle w:val="ListParagraph"/>
        <w:numPr>
          <w:ilvl w:val="1"/>
          <w:numId w:val="79"/>
        </w:numPr>
        <w:tabs>
          <w:tab w:val="left" w:pos="3060"/>
        </w:tabs>
      </w:pPr>
      <w:r w:rsidRPr="005C38F6">
        <w:rPr>
          <w:highlight w:val="green"/>
        </w:rPr>
        <w:t>Also, the lower the reliability, the more room for inside information</w:t>
      </w:r>
    </w:p>
    <w:p w14:paraId="62F25642" w14:textId="77777777" w:rsidR="00105DA9" w:rsidRDefault="00105DA9" w:rsidP="00105DA9">
      <w:pPr>
        <w:tabs>
          <w:tab w:val="left" w:pos="3060"/>
        </w:tabs>
        <w:ind w:left="720"/>
      </w:pPr>
    </w:p>
    <w:p w14:paraId="7D39EA70" w14:textId="0CA32AB7" w:rsidR="00105DA9" w:rsidRDefault="00105DA9" w:rsidP="00105DA9">
      <w:pPr>
        <w:tabs>
          <w:tab w:val="left" w:pos="3060"/>
        </w:tabs>
        <w:ind w:left="720"/>
      </w:pPr>
      <w:r>
        <w:t>The highlighted are class notes</w:t>
      </w:r>
    </w:p>
    <w:p w14:paraId="31E3D65B" w14:textId="6AAA7729" w:rsidR="00105DA9" w:rsidRDefault="00105DA9" w:rsidP="00105DA9">
      <w:pPr>
        <w:tabs>
          <w:tab w:val="left" w:pos="3060"/>
        </w:tabs>
        <w:ind w:left="720"/>
      </w:pPr>
      <w:r>
        <w:t>- not yet sure if goodwill and hedge accounting will be tested</w:t>
      </w:r>
      <w:bookmarkStart w:id="0" w:name="_GoBack"/>
      <w:bookmarkEnd w:id="0"/>
    </w:p>
    <w:sectPr w:rsidR="00105DA9" w:rsidSect="0075644C">
      <w:footerReference w:type="default" r:id="rId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8F3B2BD" w14:textId="77777777" w:rsidR="005C38F6" w:rsidRDefault="005C38F6" w:rsidP="00161A51">
      <w:pPr>
        <w:spacing w:after="0" w:line="240" w:lineRule="auto"/>
      </w:pPr>
      <w:r>
        <w:separator/>
      </w:r>
    </w:p>
  </w:endnote>
  <w:endnote w:type="continuationSeparator" w:id="0">
    <w:p w14:paraId="5EE048EC" w14:textId="77777777" w:rsidR="005C38F6" w:rsidRDefault="005C38F6" w:rsidP="00161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456E6" w14:textId="77777777" w:rsidR="005C38F6" w:rsidRDefault="005C38F6">
    <w:pPr>
      <w:pStyle w:val="Footer"/>
    </w:pPr>
  </w:p>
  <w:p w14:paraId="4306A9EB" w14:textId="77777777" w:rsidR="005C38F6" w:rsidRDefault="005C38F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A004418" w14:textId="77777777" w:rsidR="005C38F6" w:rsidRDefault="005C38F6" w:rsidP="00161A51">
      <w:pPr>
        <w:spacing w:after="0" w:line="240" w:lineRule="auto"/>
      </w:pPr>
      <w:r>
        <w:separator/>
      </w:r>
    </w:p>
  </w:footnote>
  <w:footnote w:type="continuationSeparator" w:id="0">
    <w:p w14:paraId="4793E317" w14:textId="77777777" w:rsidR="005C38F6" w:rsidRDefault="005C38F6" w:rsidP="00161A5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167457"/>
    <w:multiLevelType w:val="hybridMultilevel"/>
    <w:tmpl w:val="DD9C64C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01F63F2"/>
    <w:multiLevelType w:val="hybridMultilevel"/>
    <w:tmpl w:val="D58CDE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C90DFD"/>
    <w:multiLevelType w:val="hybridMultilevel"/>
    <w:tmpl w:val="88B8A1CA"/>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3">
    <w:nsid w:val="04F318BE"/>
    <w:multiLevelType w:val="hybridMultilevel"/>
    <w:tmpl w:val="EE861E0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6726B48"/>
    <w:multiLevelType w:val="hybridMultilevel"/>
    <w:tmpl w:val="D07EEB0E"/>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5">
    <w:nsid w:val="08804547"/>
    <w:multiLevelType w:val="hybridMultilevel"/>
    <w:tmpl w:val="D862A0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B4A4C18"/>
    <w:multiLevelType w:val="hybridMultilevel"/>
    <w:tmpl w:val="D0003396"/>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7">
    <w:nsid w:val="0CA661D4"/>
    <w:multiLevelType w:val="hybridMultilevel"/>
    <w:tmpl w:val="92ECF1F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0D646227"/>
    <w:multiLevelType w:val="hybridMultilevel"/>
    <w:tmpl w:val="6DC0C1B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0FFF69EF"/>
    <w:multiLevelType w:val="hybridMultilevel"/>
    <w:tmpl w:val="74485F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103D33B0"/>
    <w:multiLevelType w:val="hybridMultilevel"/>
    <w:tmpl w:val="68B43AD2"/>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1">
    <w:nsid w:val="10DB67F0"/>
    <w:multiLevelType w:val="hybridMultilevel"/>
    <w:tmpl w:val="F79820E8"/>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2">
    <w:nsid w:val="121739E1"/>
    <w:multiLevelType w:val="hybridMultilevel"/>
    <w:tmpl w:val="759664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144258A6"/>
    <w:multiLevelType w:val="hybridMultilevel"/>
    <w:tmpl w:val="48368B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157131DB"/>
    <w:multiLevelType w:val="hybridMultilevel"/>
    <w:tmpl w:val="9A4AA4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88285C"/>
    <w:multiLevelType w:val="hybridMultilevel"/>
    <w:tmpl w:val="F78669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173D37EA"/>
    <w:multiLevelType w:val="hybridMultilevel"/>
    <w:tmpl w:val="949808F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18A0560F"/>
    <w:multiLevelType w:val="hybridMultilevel"/>
    <w:tmpl w:val="96CCB25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1BCE609C"/>
    <w:multiLevelType w:val="hybridMultilevel"/>
    <w:tmpl w:val="3606FA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1CFF1722"/>
    <w:multiLevelType w:val="hybridMultilevel"/>
    <w:tmpl w:val="53B4AC5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1D9E78F6"/>
    <w:multiLevelType w:val="hybridMultilevel"/>
    <w:tmpl w:val="849CC83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1DDA60EB"/>
    <w:multiLevelType w:val="hybridMultilevel"/>
    <w:tmpl w:val="B4FA69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1DDF2D04"/>
    <w:multiLevelType w:val="hybridMultilevel"/>
    <w:tmpl w:val="3EE4338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21B005A9"/>
    <w:multiLevelType w:val="hybridMultilevel"/>
    <w:tmpl w:val="AC0830D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22A41875"/>
    <w:multiLevelType w:val="hybridMultilevel"/>
    <w:tmpl w:val="CFDA537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25E278F5"/>
    <w:multiLevelType w:val="hybridMultilevel"/>
    <w:tmpl w:val="B46AE6B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27C611A0"/>
    <w:multiLevelType w:val="hybridMultilevel"/>
    <w:tmpl w:val="A6C6973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281E3639"/>
    <w:multiLevelType w:val="hybridMultilevel"/>
    <w:tmpl w:val="453A3AC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2AD15FDC"/>
    <w:multiLevelType w:val="hybridMultilevel"/>
    <w:tmpl w:val="7F4623D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2D0273B1"/>
    <w:multiLevelType w:val="hybridMultilevel"/>
    <w:tmpl w:val="544A0C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32035A9F"/>
    <w:multiLevelType w:val="hybridMultilevel"/>
    <w:tmpl w:val="BB3091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32297CED"/>
    <w:multiLevelType w:val="hybridMultilevel"/>
    <w:tmpl w:val="AD0E658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32F234B6"/>
    <w:multiLevelType w:val="hybridMultilevel"/>
    <w:tmpl w:val="F05A744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35C03A34"/>
    <w:multiLevelType w:val="hybridMultilevel"/>
    <w:tmpl w:val="5F7233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622637A"/>
    <w:multiLevelType w:val="hybridMultilevel"/>
    <w:tmpl w:val="324AB8D2"/>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35">
    <w:nsid w:val="39F641C2"/>
    <w:multiLevelType w:val="hybridMultilevel"/>
    <w:tmpl w:val="087280F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3B5E3635"/>
    <w:multiLevelType w:val="hybridMultilevel"/>
    <w:tmpl w:val="C00AE41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3C316F31"/>
    <w:multiLevelType w:val="hybridMultilevel"/>
    <w:tmpl w:val="DF1CB1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3E737D4D"/>
    <w:multiLevelType w:val="hybridMultilevel"/>
    <w:tmpl w:val="8F94B22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3FDE6BAF"/>
    <w:multiLevelType w:val="hybridMultilevel"/>
    <w:tmpl w:val="AB042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3E3EE5"/>
    <w:multiLevelType w:val="hybridMultilevel"/>
    <w:tmpl w:val="300ED33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429B66F9"/>
    <w:multiLevelType w:val="hybridMultilevel"/>
    <w:tmpl w:val="40240A10"/>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42">
    <w:nsid w:val="4566212B"/>
    <w:multiLevelType w:val="hybridMultilevel"/>
    <w:tmpl w:val="ED100B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45CC7335"/>
    <w:multiLevelType w:val="hybridMultilevel"/>
    <w:tmpl w:val="51C0BA8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nsid w:val="465B42F0"/>
    <w:multiLevelType w:val="hybridMultilevel"/>
    <w:tmpl w:val="56EE4D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47302EC3"/>
    <w:multiLevelType w:val="hybridMultilevel"/>
    <w:tmpl w:val="4C0027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nsid w:val="4C50633A"/>
    <w:multiLevelType w:val="hybridMultilevel"/>
    <w:tmpl w:val="EBEA0D6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nsid w:val="4D66189F"/>
    <w:multiLevelType w:val="hybridMultilevel"/>
    <w:tmpl w:val="60FE7A0E"/>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48">
    <w:nsid w:val="4DBE29F7"/>
    <w:multiLevelType w:val="hybridMultilevel"/>
    <w:tmpl w:val="3C40E37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537E5148"/>
    <w:multiLevelType w:val="hybridMultilevel"/>
    <w:tmpl w:val="EB78E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4882A14"/>
    <w:multiLevelType w:val="hybridMultilevel"/>
    <w:tmpl w:val="F7866C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549949C1"/>
    <w:multiLevelType w:val="hybridMultilevel"/>
    <w:tmpl w:val="64A200B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54BC6FBB"/>
    <w:multiLevelType w:val="hybridMultilevel"/>
    <w:tmpl w:val="6E46168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nsid w:val="558764DA"/>
    <w:multiLevelType w:val="hybridMultilevel"/>
    <w:tmpl w:val="A372F06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nsid w:val="566A756B"/>
    <w:multiLevelType w:val="hybridMultilevel"/>
    <w:tmpl w:val="AC666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FA4985"/>
    <w:multiLevelType w:val="hybridMultilevel"/>
    <w:tmpl w:val="71A2E1E0"/>
    <w:lvl w:ilvl="0" w:tplc="E0EEA4CE">
      <w:start w:val="1"/>
      <w:numFmt w:val="bullet"/>
      <w:pStyle w:val="NormalWeb"/>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A0A7720"/>
    <w:multiLevelType w:val="hybridMultilevel"/>
    <w:tmpl w:val="A962B47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5D4B5B8B"/>
    <w:multiLevelType w:val="hybridMultilevel"/>
    <w:tmpl w:val="2200B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F051316"/>
    <w:multiLevelType w:val="hybridMultilevel"/>
    <w:tmpl w:val="DCCE8CB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nsid w:val="60F1375C"/>
    <w:multiLevelType w:val="hybridMultilevel"/>
    <w:tmpl w:val="5A0A8F4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0">
    <w:nsid w:val="60F31D34"/>
    <w:multiLevelType w:val="hybridMultilevel"/>
    <w:tmpl w:val="2A1AA1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3F86D39"/>
    <w:multiLevelType w:val="hybridMultilevel"/>
    <w:tmpl w:val="2D4E7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E04362"/>
    <w:multiLevelType w:val="hybridMultilevel"/>
    <w:tmpl w:val="7CF8BB3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654004E8"/>
    <w:multiLevelType w:val="hybridMultilevel"/>
    <w:tmpl w:val="AB763ED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nsid w:val="661A48B1"/>
    <w:multiLevelType w:val="hybridMultilevel"/>
    <w:tmpl w:val="CF2A0AA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5">
    <w:nsid w:val="681377DE"/>
    <w:multiLevelType w:val="hybridMultilevel"/>
    <w:tmpl w:val="B07C39F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692F106F"/>
    <w:multiLevelType w:val="hybridMultilevel"/>
    <w:tmpl w:val="322E9B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7">
    <w:nsid w:val="69F80F2B"/>
    <w:multiLevelType w:val="hybridMultilevel"/>
    <w:tmpl w:val="1A7085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8">
    <w:nsid w:val="6C9C6A8A"/>
    <w:multiLevelType w:val="hybridMultilevel"/>
    <w:tmpl w:val="16E6EEA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9">
    <w:nsid w:val="6EED5AD5"/>
    <w:multiLevelType w:val="hybridMultilevel"/>
    <w:tmpl w:val="B1024D9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nsid w:val="6FB66525"/>
    <w:multiLevelType w:val="hybridMultilevel"/>
    <w:tmpl w:val="0590CC3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1">
    <w:nsid w:val="6FB95804"/>
    <w:multiLevelType w:val="hybridMultilevel"/>
    <w:tmpl w:val="B94C2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0FB2E82"/>
    <w:multiLevelType w:val="hybridMultilevel"/>
    <w:tmpl w:val="DE26EF1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3">
    <w:nsid w:val="72696EE9"/>
    <w:multiLevelType w:val="hybridMultilevel"/>
    <w:tmpl w:val="40185DC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4">
    <w:nsid w:val="72A03438"/>
    <w:multiLevelType w:val="hybridMultilevel"/>
    <w:tmpl w:val="6CDA659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nsid w:val="72AA3E11"/>
    <w:multiLevelType w:val="hybridMultilevel"/>
    <w:tmpl w:val="ACACE1B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76">
    <w:nsid w:val="74AB237C"/>
    <w:multiLevelType w:val="hybridMultilevel"/>
    <w:tmpl w:val="1B2CAA8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7">
    <w:nsid w:val="74B35588"/>
    <w:multiLevelType w:val="hybridMultilevel"/>
    <w:tmpl w:val="64022338"/>
    <w:lvl w:ilvl="0" w:tplc="04090001">
      <w:start w:val="1"/>
      <w:numFmt w:val="bullet"/>
      <w:lvlText w:val=""/>
      <w:lvlJc w:val="left"/>
      <w:pPr>
        <w:tabs>
          <w:tab w:val="num" w:pos="720"/>
        </w:tabs>
        <w:ind w:left="720" w:hanging="360"/>
      </w:pPr>
      <w:rPr>
        <w:rFonts w:ascii="Symbol" w:hAnsi="Symbol" w:hint="default"/>
      </w:rPr>
    </w:lvl>
    <w:lvl w:ilvl="1" w:tplc="F99EC4E6">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53C5F5B"/>
    <w:multiLevelType w:val="hybridMultilevel"/>
    <w:tmpl w:val="07FE0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C575AA2"/>
    <w:multiLevelType w:val="hybridMultilevel"/>
    <w:tmpl w:val="84D8D35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nsid w:val="7DBB549C"/>
    <w:multiLevelType w:val="hybridMultilevel"/>
    <w:tmpl w:val="4F3E78F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7"/>
  </w:num>
  <w:num w:numId="2">
    <w:abstractNumId w:val="56"/>
  </w:num>
  <w:num w:numId="3">
    <w:abstractNumId w:val="68"/>
  </w:num>
  <w:num w:numId="4">
    <w:abstractNumId w:val="22"/>
  </w:num>
  <w:num w:numId="5">
    <w:abstractNumId w:val="80"/>
  </w:num>
  <w:num w:numId="6">
    <w:abstractNumId w:val="62"/>
  </w:num>
  <w:num w:numId="7">
    <w:abstractNumId w:val="73"/>
  </w:num>
  <w:num w:numId="8">
    <w:abstractNumId w:val="5"/>
  </w:num>
  <w:num w:numId="9">
    <w:abstractNumId w:val="76"/>
  </w:num>
  <w:num w:numId="10">
    <w:abstractNumId w:val="27"/>
  </w:num>
  <w:num w:numId="11">
    <w:abstractNumId w:val="8"/>
  </w:num>
  <w:num w:numId="12">
    <w:abstractNumId w:val="67"/>
  </w:num>
  <w:num w:numId="13">
    <w:abstractNumId w:val="21"/>
  </w:num>
  <w:num w:numId="14">
    <w:abstractNumId w:val="53"/>
  </w:num>
  <w:num w:numId="15">
    <w:abstractNumId w:val="65"/>
  </w:num>
  <w:num w:numId="16">
    <w:abstractNumId w:val="15"/>
  </w:num>
  <w:num w:numId="17">
    <w:abstractNumId w:val="7"/>
  </w:num>
  <w:num w:numId="18">
    <w:abstractNumId w:val="0"/>
  </w:num>
  <w:num w:numId="19">
    <w:abstractNumId w:val="24"/>
  </w:num>
  <w:num w:numId="20">
    <w:abstractNumId w:val="31"/>
  </w:num>
  <w:num w:numId="21">
    <w:abstractNumId w:val="19"/>
  </w:num>
  <w:num w:numId="22">
    <w:abstractNumId w:val="43"/>
  </w:num>
  <w:num w:numId="23">
    <w:abstractNumId w:val="42"/>
  </w:num>
  <w:num w:numId="24">
    <w:abstractNumId w:val="71"/>
  </w:num>
  <w:num w:numId="25">
    <w:abstractNumId w:val="59"/>
  </w:num>
  <w:num w:numId="26">
    <w:abstractNumId w:val="46"/>
  </w:num>
  <w:num w:numId="27">
    <w:abstractNumId w:val="63"/>
  </w:num>
  <w:num w:numId="28">
    <w:abstractNumId w:val="40"/>
  </w:num>
  <w:num w:numId="29">
    <w:abstractNumId w:val="77"/>
  </w:num>
  <w:num w:numId="30">
    <w:abstractNumId w:val="78"/>
  </w:num>
  <w:num w:numId="31">
    <w:abstractNumId w:val="23"/>
  </w:num>
  <w:num w:numId="32">
    <w:abstractNumId w:val="36"/>
  </w:num>
  <w:num w:numId="33">
    <w:abstractNumId w:val="52"/>
  </w:num>
  <w:num w:numId="34">
    <w:abstractNumId w:val="79"/>
  </w:num>
  <w:num w:numId="35">
    <w:abstractNumId w:val="29"/>
  </w:num>
  <w:num w:numId="36">
    <w:abstractNumId w:val="72"/>
  </w:num>
  <w:num w:numId="37">
    <w:abstractNumId w:val="9"/>
  </w:num>
  <w:num w:numId="38">
    <w:abstractNumId w:val="3"/>
  </w:num>
  <w:num w:numId="39">
    <w:abstractNumId w:val="16"/>
  </w:num>
  <w:num w:numId="40">
    <w:abstractNumId w:val="66"/>
  </w:num>
  <w:num w:numId="41">
    <w:abstractNumId w:val="13"/>
  </w:num>
  <w:num w:numId="42">
    <w:abstractNumId w:val="30"/>
  </w:num>
  <w:num w:numId="43">
    <w:abstractNumId w:val="35"/>
  </w:num>
  <w:num w:numId="44">
    <w:abstractNumId w:val="32"/>
  </w:num>
  <w:num w:numId="45">
    <w:abstractNumId w:val="61"/>
  </w:num>
  <w:num w:numId="46">
    <w:abstractNumId w:val="70"/>
  </w:num>
  <w:num w:numId="47">
    <w:abstractNumId w:val="45"/>
  </w:num>
  <w:num w:numId="48">
    <w:abstractNumId w:val="28"/>
  </w:num>
  <w:num w:numId="49">
    <w:abstractNumId w:val="37"/>
  </w:num>
  <w:num w:numId="50">
    <w:abstractNumId w:val="58"/>
  </w:num>
  <w:num w:numId="51">
    <w:abstractNumId w:val="38"/>
  </w:num>
  <w:num w:numId="52">
    <w:abstractNumId w:val="74"/>
  </w:num>
  <w:num w:numId="53">
    <w:abstractNumId w:val="18"/>
  </w:num>
  <w:num w:numId="54">
    <w:abstractNumId w:val="26"/>
  </w:num>
  <w:num w:numId="55">
    <w:abstractNumId w:val="25"/>
  </w:num>
  <w:num w:numId="56">
    <w:abstractNumId w:val="75"/>
  </w:num>
  <w:num w:numId="57">
    <w:abstractNumId w:val="55"/>
  </w:num>
  <w:num w:numId="58">
    <w:abstractNumId w:val="34"/>
  </w:num>
  <w:num w:numId="59">
    <w:abstractNumId w:val="11"/>
  </w:num>
  <w:num w:numId="60">
    <w:abstractNumId w:val="41"/>
  </w:num>
  <w:num w:numId="61">
    <w:abstractNumId w:val="6"/>
  </w:num>
  <w:num w:numId="62">
    <w:abstractNumId w:val="48"/>
  </w:num>
  <w:num w:numId="63">
    <w:abstractNumId w:val="47"/>
  </w:num>
  <w:num w:numId="64">
    <w:abstractNumId w:val="10"/>
  </w:num>
  <w:num w:numId="65">
    <w:abstractNumId w:val="1"/>
  </w:num>
  <w:num w:numId="66">
    <w:abstractNumId w:val="57"/>
  </w:num>
  <w:num w:numId="67">
    <w:abstractNumId w:val="4"/>
  </w:num>
  <w:num w:numId="68">
    <w:abstractNumId w:val="2"/>
  </w:num>
  <w:num w:numId="69">
    <w:abstractNumId w:val="12"/>
  </w:num>
  <w:num w:numId="70">
    <w:abstractNumId w:val="50"/>
  </w:num>
  <w:num w:numId="71">
    <w:abstractNumId w:val="44"/>
  </w:num>
  <w:num w:numId="72">
    <w:abstractNumId w:val="14"/>
  </w:num>
  <w:num w:numId="73">
    <w:abstractNumId w:val="49"/>
  </w:num>
  <w:num w:numId="74">
    <w:abstractNumId w:val="60"/>
  </w:num>
  <w:num w:numId="75">
    <w:abstractNumId w:val="33"/>
  </w:num>
  <w:num w:numId="76">
    <w:abstractNumId w:val="20"/>
  </w:num>
  <w:num w:numId="77">
    <w:abstractNumId w:val="64"/>
  </w:num>
  <w:num w:numId="78">
    <w:abstractNumId w:val="69"/>
  </w:num>
  <w:num w:numId="79">
    <w:abstractNumId w:val="51"/>
  </w:num>
  <w:num w:numId="80">
    <w:abstractNumId w:val="54"/>
  </w:num>
  <w:num w:numId="81">
    <w:abstractNumId w:val="3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50">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
  <w:rsids>
    <w:rsidRoot w:val="00CD7B44"/>
    <w:rsid w:val="000006CD"/>
    <w:rsid w:val="00013A59"/>
    <w:rsid w:val="0002113F"/>
    <w:rsid w:val="000656C9"/>
    <w:rsid w:val="000679A8"/>
    <w:rsid w:val="00077DD0"/>
    <w:rsid w:val="000A02C6"/>
    <w:rsid w:val="000A1335"/>
    <w:rsid w:val="000B12B9"/>
    <w:rsid w:val="000E2162"/>
    <w:rsid w:val="000E63C8"/>
    <w:rsid w:val="000F1FE2"/>
    <w:rsid w:val="000F40CD"/>
    <w:rsid w:val="00105DA9"/>
    <w:rsid w:val="00113C1C"/>
    <w:rsid w:val="00155C69"/>
    <w:rsid w:val="00161A51"/>
    <w:rsid w:val="0017589C"/>
    <w:rsid w:val="00184A8B"/>
    <w:rsid w:val="0018751F"/>
    <w:rsid w:val="001A02B7"/>
    <w:rsid w:val="001B3B67"/>
    <w:rsid w:val="001B7DAE"/>
    <w:rsid w:val="001D3335"/>
    <w:rsid w:val="001E4ACC"/>
    <w:rsid w:val="0021328F"/>
    <w:rsid w:val="00251004"/>
    <w:rsid w:val="00277332"/>
    <w:rsid w:val="002775FF"/>
    <w:rsid w:val="00286C83"/>
    <w:rsid w:val="00297A28"/>
    <w:rsid w:val="002B0AF6"/>
    <w:rsid w:val="002D4AEC"/>
    <w:rsid w:val="002E29B4"/>
    <w:rsid w:val="002F3041"/>
    <w:rsid w:val="00311439"/>
    <w:rsid w:val="0037725C"/>
    <w:rsid w:val="00381AA7"/>
    <w:rsid w:val="003925E3"/>
    <w:rsid w:val="003A4B41"/>
    <w:rsid w:val="003C04A6"/>
    <w:rsid w:val="003C15E3"/>
    <w:rsid w:val="0040783B"/>
    <w:rsid w:val="00423BF2"/>
    <w:rsid w:val="004318EB"/>
    <w:rsid w:val="00453C3E"/>
    <w:rsid w:val="004578F7"/>
    <w:rsid w:val="0047451D"/>
    <w:rsid w:val="0049462B"/>
    <w:rsid w:val="00496A98"/>
    <w:rsid w:val="004B7F76"/>
    <w:rsid w:val="004C6208"/>
    <w:rsid w:val="004D438C"/>
    <w:rsid w:val="004F2665"/>
    <w:rsid w:val="00514905"/>
    <w:rsid w:val="00531C06"/>
    <w:rsid w:val="00540DD2"/>
    <w:rsid w:val="00590EFA"/>
    <w:rsid w:val="005B0E92"/>
    <w:rsid w:val="005B164D"/>
    <w:rsid w:val="005B7B7A"/>
    <w:rsid w:val="005C38F6"/>
    <w:rsid w:val="005E10A6"/>
    <w:rsid w:val="005F48C9"/>
    <w:rsid w:val="00620A21"/>
    <w:rsid w:val="00645980"/>
    <w:rsid w:val="00674937"/>
    <w:rsid w:val="006815F1"/>
    <w:rsid w:val="006B37DE"/>
    <w:rsid w:val="006E4B17"/>
    <w:rsid w:val="006E639D"/>
    <w:rsid w:val="00702A49"/>
    <w:rsid w:val="00705249"/>
    <w:rsid w:val="0075644C"/>
    <w:rsid w:val="00765F06"/>
    <w:rsid w:val="007A6E5E"/>
    <w:rsid w:val="007C383F"/>
    <w:rsid w:val="007F2712"/>
    <w:rsid w:val="00822B94"/>
    <w:rsid w:val="008556DC"/>
    <w:rsid w:val="00857F70"/>
    <w:rsid w:val="008667DE"/>
    <w:rsid w:val="008725EE"/>
    <w:rsid w:val="00895622"/>
    <w:rsid w:val="00895E9C"/>
    <w:rsid w:val="008A3E72"/>
    <w:rsid w:val="008A721D"/>
    <w:rsid w:val="008D4086"/>
    <w:rsid w:val="008E198B"/>
    <w:rsid w:val="00925BC5"/>
    <w:rsid w:val="00931926"/>
    <w:rsid w:val="009328AE"/>
    <w:rsid w:val="00942DC9"/>
    <w:rsid w:val="00945D1A"/>
    <w:rsid w:val="00981A23"/>
    <w:rsid w:val="009C560F"/>
    <w:rsid w:val="009D455A"/>
    <w:rsid w:val="00A0420C"/>
    <w:rsid w:val="00A1401F"/>
    <w:rsid w:val="00A147AE"/>
    <w:rsid w:val="00A500AE"/>
    <w:rsid w:val="00A9474C"/>
    <w:rsid w:val="00AB547C"/>
    <w:rsid w:val="00AB6285"/>
    <w:rsid w:val="00AB6A40"/>
    <w:rsid w:val="00AC10F6"/>
    <w:rsid w:val="00AC7A6A"/>
    <w:rsid w:val="00AE4A0E"/>
    <w:rsid w:val="00AE54BA"/>
    <w:rsid w:val="00B04F79"/>
    <w:rsid w:val="00B06EBF"/>
    <w:rsid w:val="00B6230B"/>
    <w:rsid w:val="00B85CE5"/>
    <w:rsid w:val="00B86EC9"/>
    <w:rsid w:val="00BA6B01"/>
    <w:rsid w:val="00BA79C6"/>
    <w:rsid w:val="00BB006B"/>
    <w:rsid w:val="00BD318D"/>
    <w:rsid w:val="00BE721C"/>
    <w:rsid w:val="00C1247A"/>
    <w:rsid w:val="00C4546C"/>
    <w:rsid w:val="00C61D97"/>
    <w:rsid w:val="00C77D1A"/>
    <w:rsid w:val="00C929BB"/>
    <w:rsid w:val="00CA747A"/>
    <w:rsid w:val="00CD7B44"/>
    <w:rsid w:val="00CE75AF"/>
    <w:rsid w:val="00CE7B9A"/>
    <w:rsid w:val="00D0218A"/>
    <w:rsid w:val="00D563A1"/>
    <w:rsid w:val="00D85957"/>
    <w:rsid w:val="00DE6032"/>
    <w:rsid w:val="00E00B9B"/>
    <w:rsid w:val="00E06D85"/>
    <w:rsid w:val="00E37FE0"/>
    <w:rsid w:val="00E73066"/>
    <w:rsid w:val="00E80BE1"/>
    <w:rsid w:val="00EA5560"/>
    <w:rsid w:val="00EA69B8"/>
    <w:rsid w:val="00EE5CB2"/>
    <w:rsid w:val="00EF0166"/>
    <w:rsid w:val="00F03FF9"/>
    <w:rsid w:val="00F25369"/>
    <w:rsid w:val="00F54169"/>
    <w:rsid w:val="00F617A1"/>
    <w:rsid w:val="00F70E68"/>
    <w:rsid w:val="00FA5548"/>
    <w:rsid w:val="00FB160E"/>
    <w:rsid w:val="00FC2150"/>
    <w:rsid w:val="00FD2004"/>
    <w:rsid w:val="00FE0C11"/>
    <w:rsid w:val="00FE62D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none"/>
    </o:shapedefaults>
    <o:shapelayout v:ext="edit">
      <o:idmap v:ext="edit" data="1"/>
      <o:rules v:ext="edit">
        <o:r id="V:Rule28" type="connector" idref="#_x0000_s1105"/>
        <o:r id="V:Rule29" type="connector" idref="#_x0000_s1095"/>
        <o:r id="V:Rule30" type="connector" idref="#_x0000_s1044"/>
        <o:r id="V:Rule31" type="connector" idref="#_x0000_s1112"/>
        <o:r id="V:Rule32" type="connector" idref="#_x0000_s1096"/>
        <o:r id="V:Rule33" type="connector" idref="#_x0000_s1032"/>
        <o:r id="V:Rule34" type="connector" idref="#_x0000_s1104"/>
        <o:r id="V:Rule35" type="connector" idref="#_x0000_s1047"/>
        <o:r id="V:Rule36" type="connector" idref="#_x0000_s1028"/>
        <o:r id="V:Rule37" type="connector" idref="#_x0000_s1091"/>
        <o:r id="V:Rule38" type="connector" idref="#_x0000_s1058"/>
        <o:r id="V:Rule39" type="connector" idref="#_x0000_s1108"/>
        <o:r id="V:Rule40" type="connector" idref="#_x0000_s1062"/>
        <o:r id="V:Rule41" type="connector" idref="#_x0000_s1072"/>
        <o:r id="V:Rule42" type="connector" idref="#_x0000_s1070"/>
        <o:r id="V:Rule43" type="connector" idref="#_x0000_s1107"/>
        <o:r id="V:Rule44" type="connector" idref="#_x0000_s1042"/>
        <o:r id="V:Rule45" type="connector" idref="#_x0000_s1084"/>
        <o:r id="V:Rule46" type="connector" idref="#_x0000_s1037"/>
        <o:r id="V:Rule47" type="connector" idref="#_x0000_s1078"/>
        <o:r id="V:Rule48" type="connector" idref="#_x0000_s1036"/>
        <o:r id="V:Rule49" type="connector" idref="#_x0000_s1029"/>
        <o:r id="V:Rule50" type="connector" idref="#_x0000_s1090"/>
        <o:r id="V:Rule51" type="connector" idref="#_x0000_s1068"/>
        <o:r id="V:Rule52" type="connector" idref="#_x0000_s1093"/>
        <o:r id="V:Rule53" type="connector" idref="#_x0000_s1111"/>
        <o:r id="V:Rule54" type="connector" idref="#_x0000_s1081"/>
      </o:rules>
    </o:shapelayout>
  </w:shapeDefaults>
  <w:decimalSymbol w:val="."/>
  <w:listSeparator w:val=","/>
  <w14:docId w14:val="32F36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4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B44"/>
    <w:pPr>
      <w:ind w:left="720"/>
      <w:contextualSpacing/>
    </w:pPr>
  </w:style>
  <w:style w:type="table" w:styleId="TableGrid">
    <w:name w:val="Table Grid"/>
    <w:basedOn w:val="TableNormal"/>
    <w:uiPriority w:val="59"/>
    <w:rsid w:val="00E80B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775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5FF"/>
    <w:rPr>
      <w:rFonts w:ascii="Tahoma" w:hAnsi="Tahoma" w:cs="Tahoma"/>
      <w:sz w:val="16"/>
      <w:szCs w:val="16"/>
    </w:rPr>
  </w:style>
  <w:style w:type="character" w:styleId="PlaceholderText">
    <w:name w:val="Placeholder Text"/>
    <w:basedOn w:val="DefaultParagraphFont"/>
    <w:uiPriority w:val="99"/>
    <w:semiHidden/>
    <w:rsid w:val="00E37FE0"/>
    <w:rPr>
      <w:color w:val="808080"/>
    </w:rPr>
  </w:style>
  <w:style w:type="paragraph" w:styleId="Header">
    <w:name w:val="header"/>
    <w:basedOn w:val="Normal"/>
    <w:link w:val="HeaderChar"/>
    <w:uiPriority w:val="99"/>
    <w:semiHidden/>
    <w:unhideWhenUsed/>
    <w:rsid w:val="00161A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1A51"/>
  </w:style>
  <w:style w:type="paragraph" w:styleId="Footer">
    <w:name w:val="footer"/>
    <w:basedOn w:val="Normal"/>
    <w:link w:val="FooterChar"/>
    <w:uiPriority w:val="99"/>
    <w:unhideWhenUsed/>
    <w:rsid w:val="00161A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A51"/>
  </w:style>
  <w:style w:type="paragraph" w:styleId="NormalWeb">
    <w:name w:val="Normal (Web)"/>
    <w:basedOn w:val="Normal"/>
    <w:uiPriority w:val="99"/>
    <w:unhideWhenUsed/>
    <w:rsid w:val="00FB160E"/>
    <w:pPr>
      <w:numPr>
        <w:numId w:val="57"/>
      </w:numPr>
      <w:shd w:val="clear" w:color="auto" w:fill="F8FCFF"/>
      <w:spacing w:before="100" w:beforeAutospacing="1" w:after="100" w:afterAutospacing="1" w:line="240" w:lineRule="auto"/>
      <w:jc w:val="both"/>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diagramQuickStyle" Target="diagrams/quickStyle3.xml"/><Relationship Id="rId21" Type="http://schemas.openxmlformats.org/officeDocument/2006/relationships/diagramColors" Target="diagrams/colors3.xml"/><Relationship Id="rId22" Type="http://schemas.microsoft.com/office/2007/relationships/diagramDrawing" Target="diagrams/drawing3.xml"/><Relationship Id="rId23" Type="http://schemas.openxmlformats.org/officeDocument/2006/relationships/diagramData" Target="diagrams/data4.xml"/><Relationship Id="rId24" Type="http://schemas.openxmlformats.org/officeDocument/2006/relationships/diagramLayout" Target="diagrams/layout4.xml"/><Relationship Id="rId25" Type="http://schemas.openxmlformats.org/officeDocument/2006/relationships/diagramQuickStyle" Target="diagrams/quickStyle4.xml"/><Relationship Id="rId26" Type="http://schemas.openxmlformats.org/officeDocument/2006/relationships/diagramColors" Target="diagrams/colors4.xml"/><Relationship Id="rId27" Type="http://schemas.microsoft.com/office/2007/relationships/diagramDrawing" Target="diagrams/drawing4.xml"/><Relationship Id="rId28" Type="http://schemas.openxmlformats.org/officeDocument/2006/relationships/diagramData" Target="diagrams/data5.xml"/><Relationship Id="rId29" Type="http://schemas.openxmlformats.org/officeDocument/2006/relationships/diagramLayout" Target="diagrams/layout5.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diagramQuickStyle" Target="diagrams/quickStyle5.xml"/><Relationship Id="rId31" Type="http://schemas.openxmlformats.org/officeDocument/2006/relationships/diagramColors" Target="diagrams/colors5.xml"/><Relationship Id="rId32" Type="http://schemas.microsoft.com/office/2007/relationships/diagramDrawing" Target="diagrams/drawing5.xml"/><Relationship Id="rId9" Type="http://schemas.openxmlformats.org/officeDocument/2006/relationships/diagramLayout" Target="diagrams/layout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diagramData" Target="diagrams/data1.xml"/><Relationship Id="rId33" Type="http://schemas.openxmlformats.org/officeDocument/2006/relationships/footer" Target="footer1.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diagramData" Target="diagrams/data2.xml"/><Relationship Id="rId14" Type="http://schemas.openxmlformats.org/officeDocument/2006/relationships/diagramLayout" Target="diagrams/layout2.xml"/><Relationship Id="rId15" Type="http://schemas.openxmlformats.org/officeDocument/2006/relationships/diagramQuickStyle" Target="diagrams/quickStyle2.xml"/><Relationship Id="rId16" Type="http://schemas.openxmlformats.org/officeDocument/2006/relationships/diagramColors" Target="diagrams/colors2.xml"/><Relationship Id="rId17" Type="http://schemas.microsoft.com/office/2007/relationships/diagramDrawing" Target="diagrams/drawing2.xml"/><Relationship Id="rId18" Type="http://schemas.openxmlformats.org/officeDocument/2006/relationships/diagramData" Target="diagrams/data3.xml"/><Relationship Id="rId19" Type="http://schemas.openxmlformats.org/officeDocument/2006/relationships/diagramLayout" Target="diagrams/layout3.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AAF8E4-7407-4AED-93B3-9946762A834C}"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CA"/>
        </a:p>
      </dgm:t>
    </dgm:pt>
    <dgm:pt modelId="{D4287748-512C-4EB4-A705-4A9720FFE3C7}">
      <dgm:prSet phldrT="[Text]"/>
      <dgm:spPr/>
      <dgm:t>
        <a:bodyPr/>
        <a:lstStyle/>
        <a:p>
          <a:r>
            <a:rPr lang="en-CA"/>
            <a:t>$10,000 Investment</a:t>
          </a:r>
        </a:p>
      </dgm:t>
    </dgm:pt>
    <dgm:pt modelId="{29709F4F-B01A-4A23-B876-6E79B5576893}" type="parTrans" cxnId="{A07AEBFE-3D96-484C-BF95-E11070AA6703}">
      <dgm:prSet/>
      <dgm:spPr/>
      <dgm:t>
        <a:bodyPr/>
        <a:lstStyle/>
        <a:p>
          <a:endParaRPr lang="en-CA"/>
        </a:p>
      </dgm:t>
    </dgm:pt>
    <dgm:pt modelId="{A57BEA87-633F-466E-AB46-421F56768355}" type="sibTrans" cxnId="{A07AEBFE-3D96-484C-BF95-E11070AA6703}">
      <dgm:prSet/>
      <dgm:spPr/>
      <dgm:t>
        <a:bodyPr/>
        <a:lstStyle/>
        <a:p>
          <a:endParaRPr lang="en-CA"/>
        </a:p>
      </dgm:t>
    </dgm:pt>
    <dgm:pt modelId="{3B108F7E-6061-4CD1-B0AF-1519FCE14159}">
      <dgm:prSet phldrT="[Text]"/>
      <dgm:spPr/>
      <dgm:t>
        <a:bodyPr/>
        <a:lstStyle/>
        <a:p>
          <a:r>
            <a:rPr lang="en-CA"/>
            <a:t>Buy shares of X Ltd </a:t>
          </a:r>
        </a:p>
      </dgm:t>
    </dgm:pt>
    <dgm:pt modelId="{F6A962E4-93DA-4958-BFC2-16658C59BBC5}" type="parTrans" cxnId="{8C161B20-A23B-45B0-BE7B-5198F3DC9EA2}">
      <dgm:prSet/>
      <dgm:spPr/>
      <dgm:t>
        <a:bodyPr/>
        <a:lstStyle/>
        <a:p>
          <a:endParaRPr lang="en-CA"/>
        </a:p>
      </dgm:t>
    </dgm:pt>
    <dgm:pt modelId="{1ED6C9D2-8908-4AE1-A53E-7C6C6D59DFF7}" type="sibTrans" cxnId="{8C161B20-A23B-45B0-BE7B-5198F3DC9EA2}">
      <dgm:prSet/>
      <dgm:spPr/>
      <dgm:t>
        <a:bodyPr/>
        <a:lstStyle/>
        <a:p>
          <a:endParaRPr lang="en-CA"/>
        </a:p>
      </dgm:t>
    </dgm:pt>
    <dgm:pt modelId="{5411D8AC-DF56-455C-BCA3-3302D7893573}">
      <dgm:prSet phldrT="[Text]"/>
      <dgm:spPr/>
      <dgm:t>
        <a:bodyPr/>
        <a:lstStyle/>
        <a:p>
          <a:r>
            <a:rPr lang="en-CA"/>
            <a:t>State 1: future performance high </a:t>
          </a:r>
          <a:r>
            <a:rPr lang="en-CA">
              <a:solidFill>
                <a:srgbClr val="FF0000"/>
              </a:solidFill>
            </a:rPr>
            <a:t>(30%)</a:t>
          </a:r>
        </a:p>
      </dgm:t>
    </dgm:pt>
    <dgm:pt modelId="{32C64DB5-59E5-4836-A3A9-A65A103E855D}" type="parTrans" cxnId="{5D6B4772-7365-40C6-BBEC-83DD9148B165}">
      <dgm:prSet/>
      <dgm:spPr/>
      <dgm:t>
        <a:bodyPr/>
        <a:lstStyle/>
        <a:p>
          <a:endParaRPr lang="en-CA"/>
        </a:p>
      </dgm:t>
    </dgm:pt>
    <dgm:pt modelId="{A64BDD12-4398-4571-A2FC-5466ABD67EFB}" type="sibTrans" cxnId="{5D6B4772-7365-40C6-BBEC-83DD9148B165}">
      <dgm:prSet/>
      <dgm:spPr/>
      <dgm:t>
        <a:bodyPr/>
        <a:lstStyle/>
        <a:p>
          <a:endParaRPr lang="en-CA"/>
        </a:p>
      </dgm:t>
    </dgm:pt>
    <dgm:pt modelId="{B3F8330E-0F8E-4DC9-ABF8-1BDD81E5635D}">
      <dgm:prSet phldrT="[Text]"/>
      <dgm:spPr/>
      <dgm:t>
        <a:bodyPr/>
        <a:lstStyle/>
        <a:p>
          <a:r>
            <a:rPr lang="en-CA"/>
            <a:t>State 2: future performance low </a:t>
          </a:r>
          <a:r>
            <a:rPr lang="en-CA">
              <a:solidFill>
                <a:srgbClr val="FF0000"/>
              </a:solidFill>
            </a:rPr>
            <a:t>(70%)</a:t>
          </a:r>
        </a:p>
      </dgm:t>
    </dgm:pt>
    <dgm:pt modelId="{940234F1-A309-421D-955F-E2D57B46847E}" type="parTrans" cxnId="{6B4D96C8-3E7E-4458-8F10-44AAD6BEED42}">
      <dgm:prSet/>
      <dgm:spPr/>
      <dgm:t>
        <a:bodyPr/>
        <a:lstStyle/>
        <a:p>
          <a:endParaRPr lang="en-CA"/>
        </a:p>
      </dgm:t>
    </dgm:pt>
    <dgm:pt modelId="{92F5183C-D044-4E71-A5D5-AA320CF3152E}" type="sibTrans" cxnId="{6B4D96C8-3E7E-4458-8F10-44AAD6BEED42}">
      <dgm:prSet/>
      <dgm:spPr/>
      <dgm:t>
        <a:bodyPr/>
        <a:lstStyle/>
        <a:p>
          <a:endParaRPr lang="en-CA"/>
        </a:p>
      </dgm:t>
    </dgm:pt>
    <dgm:pt modelId="{89FFFFB6-B054-454D-97E4-91F549E2A669}">
      <dgm:prSet phldrT="[Text]"/>
      <dgm:spPr/>
      <dgm:t>
        <a:bodyPr/>
        <a:lstStyle/>
        <a:p>
          <a:r>
            <a:rPr lang="en-CA"/>
            <a:t>Buy government bonds</a:t>
          </a:r>
        </a:p>
      </dgm:t>
    </dgm:pt>
    <dgm:pt modelId="{38B7CBE8-3D66-43C8-B439-B4D9F2BDF878}" type="parTrans" cxnId="{75F5B4CD-89D2-412E-A457-28A682F2F576}">
      <dgm:prSet/>
      <dgm:spPr/>
      <dgm:t>
        <a:bodyPr/>
        <a:lstStyle/>
        <a:p>
          <a:endParaRPr lang="en-CA"/>
        </a:p>
      </dgm:t>
    </dgm:pt>
    <dgm:pt modelId="{06219219-6A53-4463-9019-0315BBA93642}" type="sibTrans" cxnId="{75F5B4CD-89D2-412E-A457-28A682F2F576}">
      <dgm:prSet/>
      <dgm:spPr/>
      <dgm:t>
        <a:bodyPr/>
        <a:lstStyle/>
        <a:p>
          <a:endParaRPr lang="en-CA"/>
        </a:p>
      </dgm:t>
    </dgm:pt>
    <dgm:pt modelId="{60AB7D46-ACB5-4F82-96B4-C163482ED529}">
      <dgm:prSet phldrT="[Text]"/>
      <dgm:spPr/>
      <dgm:t>
        <a:bodyPr/>
        <a:lstStyle/>
        <a:p>
          <a:r>
            <a:rPr lang="en-CA"/>
            <a:t>No change in state of nature; riskless investment</a:t>
          </a:r>
        </a:p>
      </dgm:t>
    </dgm:pt>
    <dgm:pt modelId="{D65E3445-3BDB-4D3C-BCC4-C2BB82A96608}" type="parTrans" cxnId="{4BBD6942-CA30-4068-895B-807E82D499CB}">
      <dgm:prSet/>
      <dgm:spPr/>
      <dgm:t>
        <a:bodyPr/>
        <a:lstStyle/>
        <a:p>
          <a:endParaRPr lang="en-CA"/>
        </a:p>
      </dgm:t>
    </dgm:pt>
    <dgm:pt modelId="{A3D256CA-018D-4C51-8058-AB0F39401C93}" type="sibTrans" cxnId="{4BBD6942-CA30-4068-895B-807E82D499CB}">
      <dgm:prSet/>
      <dgm:spPr/>
      <dgm:t>
        <a:bodyPr/>
        <a:lstStyle/>
        <a:p>
          <a:endParaRPr lang="en-CA"/>
        </a:p>
      </dgm:t>
    </dgm:pt>
    <dgm:pt modelId="{DD2AE578-0798-4C52-AF31-7F481AE95EB2}">
      <dgm:prSet phldrT="[Text]"/>
      <dgm:spPr/>
      <dgm:t>
        <a:bodyPr/>
        <a:lstStyle/>
        <a:p>
          <a:r>
            <a:rPr lang="en-CA"/>
            <a:t>Net Return = $1600</a:t>
          </a:r>
        </a:p>
      </dgm:t>
    </dgm:pt>
    <dgm:pt modelId="{705CF491-11B5-4C1F-91D6-D4956D43B080}" type="parTrans" cxnId="{AAE69758-2A27-464F-84C1-DDD02579A016}">
      <dgm:prSet/>
      <dgm:spPr/>
      <dgm:t>
        <a:bodyPr/>
        <a:lstStyle/>
        <a:p>
          <a:endParaRPr lang="en-CA"/>
        </a:p>
      </dgm:t>
    </dgm:pt>
    <dgm:pt modelId="{881F8938-2FF0-4543-9B76-26DB70981B40}" type="sibTrans" cxnId="{AAE69758-2A27-464F-84C1-DDD02579A016}">
      <dgm:prSet/>
      <dgm:spPr/>
      <dgm:t>
        <a:bodyPr/>
        <a:lstStyle/>
        <a:p>
          <a:endParaRPr lang="en-CA"/>
        </a:p>
      </dgm:t>
    </dgm:pt>
    <dgm:pt modelId="{6A68FB70-6C38-47FC-839F-456D947A91AA}">
      <dgm:prSet phldrT="[Text]"/>
      <dgm:spPr/>
      <dgm:t>
        <a:bodyPr/>
        <a:lstStyle/>
        <a:p>
          <a:r>
            <a:rPr lang="en-CA"/>
            <a:t>Net Return = $0</a:t>
          </a:r>
        </a:p>
      </dgm:t>
    </dgm:pt>
    <dgm:pt modelId="{56FEAF94-E505-44DC-9FD7-83966208ADEC}" type="parTrans" cxnId="{432F24D6-5B2A-42B0-A1DF-C985D6388FE2}">
      <dgm:prSet/>
      <dgm:spPr/>
      <dgm:t>
        <a:bodyPr/>
        <a:lstStyle/>
        <a:p>
          <a:endParaRPr lang="en-CA"/>
        </a:p>
      </dgm:t>
    </dgm:pt>
    <dgm:pt modelId="{45DE80A6-B6A1-4F3D-8489-54DD71A19999}" type="sibTrans" cxnId="{432F24D6-5B2A-42B0-A1DF-C985D6388FE2}">
      <dgm:prSet/>
      <dgm:spPr/>
      <dgm:t>
        <a:bodyPr/>
        <a:lstStyle/>
        <a:p>
          <a:endParaRPr lang="en-CA"/>
        </a:p>
      </dgm:t>
    </dgm:pt>
    <dgm:pt modelId="{94984B82-26AB-4A30-B3FB-540782CFB737}">
      <dgm:prSet phldrT="[Text]"/>
      <dgm:spPr/>
      <dgm:t>
        <a:bodyPr/>
        <a:lstStyle/>
        <a:p>
          <a:r>
            <a:rPr lang="en-CA"/>
            <a:t>Net Return = $225</a:t>
          </a:r>
        </a:p>
      </dgm:t>
    </dgm:pt>
    <dgm:pt modelId="{55B87EB1-8311-4BE1-9DF2-9DEBC59C7C8F}" type="parTrans" cxnId="{BA394329-F201-405E-B722-56B3EC79DE4D}">
      <dgm:prSet/>
      <dgm:spPr/>
      <dgm:t>
        <a:bodyPr/>
        <a:lstStyle/>
        <a:p>
          <a:endParaRPr lang="en-CA"/>
        </a:p>
      </dgm:t>
    </dgm:pt>
    <dgm:pt modelId="{B6227BFF-5AE5-4B5B-AFF4-EB7F8AD65CDB}" type="sibTrans" cxnId="{BA394329-F201-405E-B722-56B3EC79DE4D}">
      <dgm:prSet/>
      <dgm:spPr/>
      <dgm:t>
        <a:bodyPr/>
        <a:lstStyle/>
        <a:p>
          <a:endParaRPr lang="en-CA"/>
        </a:p>
      </dgm:t>
    </dgm:pt>
    <dgm:pt modelId="{70C2631E-069C-43DF-808C-52A1D18CE020}" type="pres">
      <dgm:prSet presAssocID="{45AAF8E4-7407-4AED-93B3-9946762A834C}" presName="diagram" presStyleCnt="0">
        <dgm:presLayoutVars>
          <dgm:chPref val="1"/>
          <dgm:dir/>
          <dgm:animOne val="branch"/>
          <dgm:animLvl val="lvl"/>
          <dgm:resizeHandles val="exact"/>
        </dgm:presLayoutVars>
      </dgm:prSet>
      <dgm:spPr/>
      <dgm:t>
        <a:bodyPr/>
        <a:lstStyle/>
        <a:p>
          <a:endParaRPr lang="en-CA"/>
        </a:p>
      </dgm:t>
    </dgm:pt>
    <dgm:pt modelId="{DC4E6E5B-A80A-406F-ABBC-5B794BE519C6}" type="pres">
      <dgm:prSet presAssocID="{D4287748-512C-4EB4-A705-4A9720FFE3C7}" presName="root1" presStyleCnt="0"/>
      <dgm:spPr/>
    </dgm:pt>
    <dgm:pt modelId="{BD962067-BE18-40EF-8639-34EA12C84FB5}" type="pres">
      <dgm:prSet presAssocID="{D4287748-512C-4EB4-A705-4A9720FFE3C7}" presName="LevelOneTextNode" presStyleLbl="node0" presStyleIdx="0" presStyleCnt="1">
        <dgm:presLayoutVars>
          <dgm:chPref val="3"/>
        </dgm:presLayoutVars>
      </dgm:prSet>
      <dgm:spPr/>
      <dgm:t>
        <a:bodyPr/>
        <a:lstStyle/>
        <a:p>
          <a:endParaRPr lang="en-CA"/>
        </a:p>
      </dgm:t>
    </dgm:pt>
    <dgm:pt modelId="{1F31BF44-AFBF-4227-AA26-4F426929F007}" type="pres">
      <dgm:prSet presAssocID="{D4287748-512C-4EB4-A705-4A9720FFE3C7}" presName="level2hierChild" presStyleCnt="0"/>
      <dgm:spPr/>
    </dgm:pt>
    <dgm:pt modelId="{FAA122F2-BB59-4A74-9F2D-14590D9C16C9}" type="pres">
      <dgm:prSet presAssocID="{F6A962E4-93DA-4958-BFC2-16658C59BBC5}" presName="conn2-1" presStyleLbl="parChTrans1D2" presStyleIdx="0" presStyleCnt="2"/>
      <dgm:spPr/>
      <dgm:t>
        <a:bodyPr/>
        <a:lstStyle/>
        <a:p>
          <a:endParaRPr lang="en-CA"/>
        </a:p>
      </dgm:t>
    </dgm:pt>
    <dgm:pt modelId="{3C793D68-E205-4A2B-BB62-FFB830F8E8BA}" type="pres">
      <dgm:prSet presAssocID="{F6A962E4-93DA-4958-BFC2-16658C59BBC5}" presName="connTx" presStyleLbl="parChTrans1D2" presStyleIdx="0" presStyleCnt="2"/>
      <dgm:spPr/>
      <dgm:t>
        <a:bodyPr/>
        <a:lstStyle/>
        <a:p>
          <a:endParaRPr lang="en-CA"/>
        </a:p>
      </dgm:t>
    </dgm:pt>
    <dgm:pt modelId="{2176FCB7-1215-4162-A838-F5D7C8B5DD1F}" type="pres">
      <dgm:prSet presAssocID="{3B108F7E-6061-4CD1-B0AF-1519FCE14159}" presName="root2" presStyleCnt="0"/>
      <dgm:spPr/>
    </dgm:pt>
    <dgm:pt modelId="{75C5B2B0-3EDC-46D4-99BD-C94851347066}" type="pres">
      <dgm:prSet presAssocID="{3B108F7E-6061-4CD1-B0AF-1519FCE14159}" presName="LevelTwoTextNode" presStyleLbl="node2" presStyleIdx="0" presStyleCnt="2">
        <dgm:presLayoutVars>
          <dgm:chPref val="3"/>
        </dgm:presLayoutVars>
      </dgm:prSet>
      <dgm:spPr/>
      <dgm:t>
        <a:bodyPr/>
        <a:lstStyle/>
        <a:p>
          <a:endParaRPr lang="en-CA"/>
        </a:p>
      </dgm:t>
    </dgm:pt>
    <dgm:pt modelId="{88A544CA-1C74-48FD-B798-2FDE4505F476}" type="pres">
      <dgm:prSet presAssocID="{3B108F7E-6061-4CD1-B0AF-1519FCE14159}" presName="level3hierChild" presStyleCnt="0"/>
      <dgm:spPr/>
    </dgm:pt>
    <dgm:pt modelId="{25EF682F-B716-40BB-A7CC-A9FC8D13C756}" type="pres">
      <dgm:prSet presAssocID="{32C64DB5-59E5-4836-A3A9-A65A103E855D}" presName="conn2-1" presStyleLbl="parChTrans1D3" presStyleIdx="0" presStyleCnt="3"/>
      <dgm:spPr/>
      <dgm:t>
        <a:bodyPr/>
        <a:lstStyle/>
        <a:p>
          <a:endParaRPr lang="en-CA"/>
        </a:p>
      </dgm:t>
    </dgm:pt>
    <dgm:pt modelId="{7289AA24-A9C3-4E0C-935A-FD4A81F9442D}" type="pres">
      <dgm:prSet presAssocID="{32C64DB5-59E5-4836-A3A9-A65A103E855D}" presName="connTx" presStyleLbl="parChTrans1D3" presStyleIdx="0" presStyleCnt="3"/>
      <dgm:spPr/>
      <dgm:t>
        <a:bodyPr/>
        <a:lstStyle/>
        <a:p>
          <a:endParaRPr lang="en-CA"/>
        </a:p>
      </dgm:t>
    </dgm:pt>
    <dgm:pt modelId="{E8312DD9-94AB-4F7D-B5C5-D41D7736337E}" type="pres">
      <dgm:prSet presAssocID="{5411D8AC-DF56-455C-BCA3-3302D7893573}" presName="root2" presStyleCnt="0"/>
      <dgm:spPr/>
    </dgm:pt>
    <dgm:pt modelId="{16EF2005-2D47-4DAB-9DD5-2F8B3E59612C}" type="pres">
      <dgm:prSet presAssocID="{5411D8AC-DF56-455C-BCA3-3302D7893573}" presName="LevelTwoTextNode" presStyleLbl="node3" presStyleIdx="0" presStyleCnt="3">
        <dgm:presLayoutVars>
          <dgm:chPref val="3"/>
        </dgm:presLayoutVars>
      </dgm:prSet>
      <dgm:spPr/>
      <dgm:t>
        <a:bodyPr/>
        <a:lstStyle/>
        <a:p>
          <a:endParaRPr lang="en-CA"/>
        </a:p>
      </dgm:t>
    </dgm:pt>
    <dgm:pt modelId="{B0520665-19DB-44EA-8954-98FEEB92042A}" type="pres">
      <dgm:prSet presAssocID="{5411D8AC-DF56-455C-BCA3-3302D7893573}" presName="level3hierChild" presStyleCnt="0"/>
      <dgm:spPr/>
    </dgm:pt>
    <dgm:pt modelId="{CC2742F7-1E56-44AD-BDEE-094164213120}" type="pres">
      <dgm:prSet presAssocID="{705CF491-11B5-4C1F-91D6-D4956D43B080}" presName="conn2-1" presStyleLbl="parChTrans1D4" presStyleIdx="0" presStyleCnt="3"/>
      <dgm:spPr/>
      <dgm:t>
        <a:bodyPr/>
        <a:lstStyle/>
        <a:p>
          <a:endParaRPr lang="en-CA"/>
        </a:p>
      </dgm:t>
    </dgm:pt>
    <dgm:pt modelId="{A669541C-DBAD-4240-B020-61EA19056048}" type="pres">
      <dgm:prSet presAssocID="{705CF491-11B5-4C1F-91D6-D4956D43B080}" presName="connTx" presStyleLbl="parChTrans1D4" presStyleIdx="0" presStyleCnt="3"/>
      <dgm:spPr/>
      <dgm:t>
        <a:bodyPr/>
        <a:lstStyle/>
        <a:p>
          <a:endParaRPr lang="en-CA"/>
        </a:p>
      </dgm:t>
    </dgm:pt>
    <dgm:pt modelId="{4B5AFAD1-1B75-410E-B72C-6E1E79DFAD1A}" type="pres">
      <dgm:prSet presAssocID="{DD2AE578-0798-4C52-AF31-7F481AE95EB2}" presName="root2" presStyleCnt="0"/>
      <dgm:spPr/>
    </dgm:pt>
    <dgm:pt modelId="{464E5044-8B95-479A-A387-13A7B431C4E2}" type="pres">
      <dgm:prSet presAssocID="{DD2AE578-0798-4C52-AF31-7F481AE95EB2}" presName="LevelTwoTextNode" presStyleLbl="node4" presStyleIdx="0" presStyleCnt="3">
        <dgm:presLayoutVars>
          <dgm:chPref val="3"/>
        </dgm:presLayoutVars>
      </dgm:prSet>
      <dgm:spPr/>
      <dgm:t>
        <a:bodyPr/>
        <a:lstStyle/>
        <a:p>
          <a:endParaRPr lang="en-CA"/>
        </a:p>
      </dgm:t>
    </dgm:pt>
    <dgm:pt modelId="{66C1483B-84A0-4DC7-BA31-6702C7AE77B6}" type="pres">
      <dgm:prSet presAssocID="{DD2AE578-0798-4C52-AF31-7F481AE95EB2}" presName="level3hierChild" presStyleCnt="0"/>
      <dgm:spPr/>
    </dgm:pt>
    <dgm:pt modelId="{7D9D2305-DCDC-4BAD-8233-6E3640AF2F7F}" type="pres">
      <dgm:prSet presAssocID="{940234F1-A309-421D-955F-E2D57B46847E}" presName="conn2-1" presStyleLbl="parChTrans1D3" presStyleIdx="1" presStyleCnt="3"/>
      <dgm:spPr/>
      <dgm:t>
        <a:bodyPr/>
        <a:lstStyle/>
        <a:p>
          <a:endParaRPr lang="en-CA"/>
        </a:p>
      </dgm:t>
    </dgm:pt>
    <dgm:pt modelId="{E3FEB2C8-B5AD-48AD-BB25-422B0347CB38}" type="pres">
      <dgm:prSet presAssocID="{940234F1-A309-421D-955F-E2D57B46847E}" presName="connTx" presStyleLbl="parChTrans1D3" presStyleIdx="1" presStyleCnt="3"/>
      <dgm:spPr/>
      <dgm:t>
        <a:bodyPr/>
        <a:lstStyle/>
        <a:p>
          <a:endParaRPr lang="en-CA"/>
        </a:p>
      </dgm:t>
    </dgm:pt>
    <dgm:pt modelId="{1017A9D9-B80F-492F-8716-B6EB2CE29047}" type="pres">
      <dgm:prSet presAssocID="{B3F8330E-0F8E-4DC9-ABF8-1BDD81E5635D}" presName="root2" presStyleCnt="0"/>
      <dgm:spPr/>
    </dgm:pt>
    <dgm:pt modelId="{56B58940-A6A8-4D81-8FA8-2CFDFEC1E4A4}" type="pres">
      <dgm:prSet presAssocID="{B3F8330E-0F8E-4DC9-ABF8-1BDD81E5635D}" presName="LevelTwoTextNode" presStyleLbl="node3" presStyleIdx="1" presStyleCnt="3">
        <dgm:presLayoutVars>
          <dgm:chPref val="3"/>
        </dgm:presLayoutVars>
      </dgm:prSet>
      <dgm:spPr/>
      <dgm:t>
        <a:bodyPr/>
        <a:lstStyle/>
        <a:p>
          <a:endParaRPr lang="en-CA"/>
        </a:p>
      </dgm:t>
    </dgm:pt>
    <dgm:pt modelId="{1260423C-AEAB-4E5C-A772-443C30D1E5E8}" type="pres">
      <dgm:prSet presAssocID="{B3F8330E-0F8E-4DC9-ABF8-1BDD81E5635D}" presName="level3hierChild" presStyleCnt="0"/>
      <dgm:spPr/>
    </dgm:pt>
    <dgm:pt modelId="{25A129D9-19DA-445C-B97B-5BEFBCCAFAD1}" type="pres">
      <dgm:prSet presAssocID="{56FEAF94-E505-44DC-9FD7-83966208ADEC}" presName="conn2-1" presStyleLbl="parChTrans1D4" presStyleIdx="1" presStyleCnt="3"/>
      <dgm:spPr/>
      <dgm:t>
        <a:bodyPr/>
        <a:lstStyle/>
        <a:p>
          <a:endParaRPr lang="en-CA"/>
        </a:p>
      </dgm:t>
    </dgm:pt>
    <dgm:pt modelId="{9ECBB3B0-26AD-4FD6-9C68-B028A9D9D38F}" type="pres">
      <dgm:prSet presAssocID="{56FEAF94-E505-44DC-9FD7-83966208ADEC}" presName="connTx" presStyleLbl="parChTrans1D4" presStyleIdx="1" presStyleCnt="3"/>
      <dgm:spPr/>
      <dgm:t>
        <a:bodyPr/>
        <a:lstStyle/>
        <a:p>
          <a:endParaRPr lang="en-CA"/>
        </a:p>
      </dgm:t>
    </dgm:pt>
    <dgm:pt modelId="{2A8AAF0C-4006-4E7A-AA0F-2D3FCFFB498F}" type="pres">
      <dgm:prSet presAssocID="{6A68FB70-6C38-47FC-839F-456D947A91AA}" presName="root2" presStyleCnt="0"/>
      <dgm:spPr/>
    </dgm:pt>
    <dgm:pt modelId="{20CAE6A4-E074-4ADF-891C-D4106F561D65}" type="pres">
      <dgm:prSet presAssocID="{6A68FB70-6C38-47FC-839F-456D947A91AA}" presName="LevelTwoTextNode" presStyleLbl="node4" presStyleIdx="1" presStyleCnt="3">
        <dgm:presLayoutVars>
          <dgm:chPref val="3"/>
        </dgm:presLayoutVars>
      </dgm:prSet>
      <dgm:spPr/>
      <dgm:t>
        <a:bodyPr/>
        <a:lstStyle/>
        <a:p>
          <a:endParaRPr lang="en-CA"/>
        </a:p>
      </dgm:t>
    </dgm:pt>
    <dgm:pt modelId="{32C01F97-393B-4A2E-A508-C4E36B485C8D}" type="pres">
      <dgm:prSet presAssocID="{6A68FB70-6C38-47FC-839F-456D947A91AA}" presName="level3hierChild" presStyleCnt="0"/>
      <dgm:spPr/>
    </dgm:pt>
    <dgm:pt modelId="{1560600C-022A-478B-BC3E-8A9EB5EF2F3F}" type="pres">
      <dgm:prSet presAssocID="{38B7CBE8-3D66-43C8-B439-B4D9F2BDF878}" presName="conn2-1" presStyleLbl="parChTrans1D2" presStyleIdx="1" presStyleCnt="2"/>
      <dgm:spPr/>
      <dgm:t>
        <a:bodyPr/>
        <a:lstStyle/>
        <a:p>
          <a:endParaRPr lang="en-CA"/>
        </a:p>
      </dgm:t>
    </dgm:pt>
    <dgm:pt modelId="{9CDB1BAD-F38A-4871-87BB-98CBC169786A}" type="pres">
      <dgm:prSet presAssocID="{38B7CBE8-3D66-43C8-B439-B4D9F2BDF878}" presName="connTx" presStyleLbl="parChTrans1D2" presStyleIdx="1" presStyleCnt="2"/>
      <dgm:spPr/>
      <dgm:t>
        <a:bodyPr/>
        <a:lstStyle/>
        <a:p>
          <a:endParaRPr lang="en-CA"/>
        </a:p>
      </dgm:t>
    </dgm:pt>
    <dgm:pt modelId="{0D031051-B44A-4F83-AC99-86DFC936699D}" type="pres">
      <dgm:prSet presAssocID="{89FFFFB6-B054-454D-97E4-91F549E2A669}" presName="root2" presStyleCnt="0"/>
      <dgm:spPr/>
    </dgm:pt>
    <dgm:pt modelId="{798B6D0F-8EF4-4EF5-94F0-F09F91E3B3FE}" type="pres">
      <dgm:prSet presAssocID="{89FFFFB6-B054-454D-97E4-91F549E2A669}" presName="LevelTwoTextNode" presStyleLbl="node2" presStyleIdx="1" presStyleCnt="2">
        <dgm:presLayoutVars>
          <dgm:chPref val="3"/>
        </dgm:presLayoutVars>
      </dgm:prSet>
      <dgm:spPr/>
      <dgm:t>
        <a:bodyPr/>
        <a:lstStyle/>
        <a:p>
          <a:endParaRPr lang="en-CA"/>
        </a:p>
      </dgm:t>
    </dgm:pt>
    <dgm:pt modelId="{722ACA55-B1A8-4170-96BC-47875AD274FF}" type="pres">
      <dgm:prSet presAssocID="{89FFFFB6-B054-454D-97E4-91F549E2A669}" presName="level3hierChild" presStyleCnt="0"/>
      <dgm:spPr/>
    </dgm:pt>
    <dgm:pt modelId="{C053548F-8C3A-4BC4-89B5-2C495BBB9F84}" type="pres">
      <dgm:prSet presAssocID="{D65E3445-3BDB-4D3C-BCC4-C2BB82A96608}" presName="conn2-1" presStyleLbl="parChTrans1D3" presStyleIdx="2" presStyleCnt="3"/>
      <dgm:spPr/>
      <dgm:t>
        <a:bodyPr/>
        <a:lstStyle/>
        <a:p>
          <a:endParaRPr lang="en-CA"/>
        </a:p>
      </dgm:t>
    </dgm:pt>
    <dgm:pt modelId="{9AFE3296-4996-4CBF-9B3A-2965F8B32B3C}" type="pres">
      <dgm:prSet presAssocID="{D65E3445-3BDB-4D3C-BCC4-C2BB82A96608}" presName="connTx" presStyleLbl="parChTrans1D3" presStyleIdx="2" presStyleCnt="3"/>
      <dgm:spPr/>
      <dgm:t>
        <a:bodyPr/>
        <a:lstStyle/>
        <a:p>
          <a:endParaRPr lang="en-CA"/>
        </a:p>
      </dgm:t>
    </dgm:pt>
    <dgm:pt modelId="{E102E18D-D7BC-4943-B9BC-277FBBA02EF1}" type="pres">
      <dgm:prSet presAssocID="{60AB7D46-ACB5-4F82-96B4-C163482ED529}" presName="root2" presStyleCnt="0"/>
      <dgm:spPr/>
    </dgm:pt>
    <dgm:pt modelId="{E74A71E9-03A5-4A4C-A75E-12CD4CF9BFA0}" type="pres">
      <dgm:prSet presAssocID="{60AB7D46-ACB5-4F82-96B4-C163482ED529}" presName="LevelTwoTextNode" presStyleLbl="node3" presStyleIdx="2" presStyleCnt="3">
        <dgm:presLayoutVars>
          <dgm:chPref val="3"/>
        </dgm:presLayoutVars>
      </dgm:prSet>
      <dgm:spPr/>
      <dgm:t>
        <a:bodyPr/>
        <a:lstStyle/>
        <a:p>
          <a:endParaRPr lang="en-CA"/>
        </a:p>
      </dgm:t>
    </dgm:pt>
    <dgm:pt modelId="{43BE6310-4D76-4871-ABE4-CA7D0D4A68A0}" type="pres">
      <dgm:prSet presAssocID="{60AB7D46-ACB5-4F82-96B4-C163482ED529}" presName="level3hierChild" presStyleCnt="0"/>
      <dgm:spPr/>
    </dgm:pt>
    <dgm:pt modelId="{017C10B6-9592-48E4-A2A4-DEBDB41769B9}" type="pres">
      <dgm:prSet presAssocID="{55B87EB1-8311-4BE1-9DF2-9DEBC59C7C8F}" presName="conn2-1" presStyleLbl="parChTrans1D4" presStyleIdx="2" presStyleCnt="3"/>
      <dgm:spPr/>
      <dgm:t>
        <a:bodyPr/>
        <a:lstStyle/>
        <a:p>
          <a:endParaRPr lang="en-CA"/>
        </a:p>
      </dgm:t>
    </dgm:pt>
    <dgm:pt modelId="{EDC12E51-83FC-4DDD-A125-13BA0F97D147}" type="pres">
      <dgm:prSet presAssocID="{55B87EB1-8311-4BE1-9DF2-9DEBC59C7C8F}" presName="connTx" presStyleLbl="parChTrans1D4" presStyleIdx="2" presStyleCnt="3"/>
      <dgm:spPr/>
      <dgm:t>
        <a:bodyPr/>
        <a:lstStyle/>
        <a:p>
          <a:endParaRPr lang="en-CA"/>
        </a:p>
      </dgm:t>
    </dgm:pt>
    <dgm:pt modelId="{9029563B-B0AA-4126-BD1D-30F26EAB47FF}" type="pres">
      <dgm:prSet presAssocID="{94984B82-26AB-4A30-B3FB-540782CFB737}" presName="root2" presStyleCnt="0"/>
      <dgm:spPr/>
    </dgm:pt>
    <dgm:pt modelId="{2038F894-D20B-4BC0-A684-7DDCE4E7C020}" type="pres">
      <dgm:prSet presAssocID="{94984B82-26AB-4A30-B3FB-540782CFB737}" presName="LevelTwoTextNode" presStyleLbl="node4" presStyleIdx="2" presStyleCnt="3">
        <dgm:presLayoutVars>
          <dgm:chPref val="3"/>
        </dgm:presLayoutVars>
      </dgm:prSet>
      <dgm:spPr/>
      <dgm:t>
        <a:bodyPr/>
        <a:lstStyle/>
        <a:p>
          <a:endParaRPr lang="en-CA"/>
        </a:p>
      </dgm:t>
    </dgm:pt>
    <dgm:pt modelId="{4F35C379-75FC-4DAC-AE2A-4F45B0E2FAAD}" type="pres">
      <dgm:prSet presAssocID="{94984B82-26AB-4A30-B3FB-540782CFB737}" presName="level3hierChild" presStyleCnt="0"/>
      <dgm:spPr/>
    </dgm:pt>
  </dgm:ptLst>
  <dgm:cxnLst>
    <dgm:cxn modelId="{93A546CA-C95E-4540-B876-28D32D109DC1}" type="presOf" srcId="{940234F1-A309-421D-955F-E2D57B46847E}" destId="{7D9D2305-DCDC-4BAD-8233-6E3640AF2F7F}" srcOrd="0" destOrd="0" presId="urn:microsoft.com/office/officeart/2005/8/layout/hierarchy2"/>
    <dgm:cxn modelId="{834000DD-B220-4665-9F02-6C2CDC4D53A1}" type="presOf" srcId="{38B7CBE8-3D66-43C8-B439-B4D9F2BDF878}" destId="{9CDB1BAD-F38A-4871-87BB-98CBC169786A}" srcOrd="1" destOrd="0" presId="urn:microsoft.com/office/officeart/2005/8/layout/hierarchy2"/>
    <dgm:cxn modelId="{30237528-4C70-4E27-8DA4-CAD9C9A9F672}" type="presOf" srcId="{89FFFFB6-B054-454D-97E4-91F549E2A669}" destId="{798B6D0F-8EF4-4EF5-94F0-F09F91E3B3FE}" srcOrd="0" destOrd="0" presId="urn:microsoft.com/office/officeart/2005/8/layout/hierarchy2"/>
    <dgm:cxn modelId="{B3B7460A-503D-4F07-8AE8-5BD8EC58F32A}" type="presOf" srcId="{5411D8AC-DF56-455C-BCA3-3302D7893573}" destId="{16EF2005-2D47-4DAB-9DD5-2F8B3E59612C}" srcOrd="0" destOrd="0" presId="urn:microsoft.com/office/officeart/2005/8/layout/hierarchy2"/>
    <dgm:cxn modelId="{8C161B20-A23B-45B0-BE7B-5198F3DC9EA2}" srcId="{D4287748-512C-4EB4-A705-4A9720FFE3C7}" destId="{3B108F7E-6061-4CD1-B0AF-1519FCE14159}" srcOrd="0" destOrd="0" parTransId="{F6A962E4-93DA-4958-BFC2-16658C59BBC5}" sibTransId="{1ED6C9D2-8908-4AE1-A53E-7C6C6D59DFF7}"/>
    <dgm:cxn modelId="{6B4D96C8-3E7E-4458-8F10-44AAD6BEED42}" srcId="{3B108F7E-6061-4CD1-B0AF-1519FCE14159}" destId="{B3F8330E-0F8E-4DC9-ABF8-1BDD81E5635D}" srcOrd="1" destOrd="0" parTransId="{940234F1-A309-421D-955F-E2D57B46847E}" sibTransId="{92F5183C-D044-4E71-A5D5-AA320CF3152E}"/>
    <dgm:cxn modelId="{5D6B4772-7365-40C6-BBEC-83DD9148B165}" srcId="{3B108F7E-6061-4CD1-B0AF-1519FCE14159}" destId="{5411D8AC-DF56-455C-BCA3-3302D7893573}" srcOrd="0" destOrd="0" parTransId="{32C64DB5-59E5-4836-A3A9-A65A103E855D}" sibTransId="{A64BDD12-4398-4571-A2FC-5466ABD67EFB}"/>
    <dgm:cxn modelId="{ECDEFC8F-C425-4840-B34E-A35E4F694788}" type="presOf" srcId="{705CF491-11B5-4C1F-91D6-D4956D43B080}" destId="{CC2742F7-1E56-44AD-BDEE-094164213120}" srcOrd="0" destOrd="0" presId="urn:microsoft.com/office/officeart/2005/8/layout/hierarchy2"/>
    <dgm:cxn modelId="{B83F0717-C013-4034-BF67-6DE0077EDF47}" type="presOf" srcId="{B3F8330E-0F8E-4DC9-ABF8-1BDD81E5635D}" destId="{56B58940-A6A8-4D81-8FA8-2CFDFEC1E4A4}" srcOrd="0" destOrd="0" presId="urn:microsoft.com/office/officeart/2005/8/layout/hierarchy2"/>
    <dgm:cxn modelId="{BE5EEA3E-C8D2-4700-B855-531ACB736DB0}" type="presOf" srcId="{F6A962E4-93DA-4958-BFC2-16658C59BBC5}" destId="{FAA122F2-BB59-4A74-9F2D-14590D9C16C9}" srcOrd="0" destOrd="0" presId="urn:microsoft.com/office/officeart/2005/8/layout/hierarchy2"/>
    <dgm:cxn modelId="{508883C8-1CD3-4D4B-A2B8-215D8EB75A2B}" type="presOf" srcId="{6A68FB70-6C38-47FC-839F-456D947A91AA}" destId="{20CAE6A4-E074-4ADF-891C-D4106F561D65}" srcOrd="0" destOrd="0" presId="urn:microsoft.com/office/officeart/2005/8/layout/hierarchy2"/>
    <dgm:cxn modelId="{9073F71A-1F1D-44F5-A6B6-C6BCCCD7BDBA}" type="presOf" srcId="{56FEAF94-E505-44DC-9FD7-83966208ADEC}" destId="{25A129D9-19DA-445C-B97B-5BEFBCCAFAD1}" srcOrd="0" destOrd="0" presId="urn:microsoft.com/office/officeart/2005/8/layout/hierarchy2"/>
    <dgm:cxn modelId="{002D822C-236E-4437-AEFB-672FFAD74755}" type="presOf" srcId="{32C64DB5-59E5-4836-A3A9-A65A103E855D}" destId="{7289AA24-A9C3-4E0C-935A-FD4A81F9442D}" srcOrd="1" destOrd="0" presId="urn:microsoft.com/office/officeart/2005/8/layout/hierarchy2"/>
    <dgm:cxn modelId="{680BC7ED-3A4F-4A92-B25F-6A28ABAB7CD3}" type="presOf" srcId="{F6A962E4-93DA-4958-BFC2-16658C59BBC5}" destId="{3C793D68-E205-4A2B-BB62-FFB830F8E8BA}" srcOrd="1" destOrd="0" presId="urn:microsoft.com/office/officeart/2005/8/layout/hierarchy2"/>
    <dgm:cxn modelId="{F12861CA-6849-44D4-9315-A32647271E18}" type="presOf" srcId="{DD2AE578-0798-4C52-AF31-7F481AE95EB2}" destId="{464E5044-8B95-479A-A387-13A7B431C4E2}" srcOrd="0" destOrd="0" presId="urn:microsoft.com/office/officeart/2005/8/layout/hierarchy2"/>
    <dgm:cxn modelId="{432F24D6-5B2A-42B0-A1DF-C985D6388FE2}" srcId="{B3F8330E-0F8E-4DC9-ABF8-1BDD81E5635D}" destId="{6A68FB70-6C38-47FC-839F-456D947A91AA}" srcOrd="0" destOrd="0" parTransId="{56FEAF94-E505-44DC-9FD7-83966208ADEC}" sibTransId="{45DE80A6-B6A1-4F3D-8489-54DD71A19999}"/>
    <dgm:cxn modelId="{4BBD6942-CA30-4068-895B-807E82D499CB}" srcId="{89FFFFB6-B054-454D-97E4-91F549E2A669}" destId="{60AB7D46-ACB5-4F82-96B4-C163482ED529}" srcOrd="0" destOrd="0" parTransId="{D65E3445-3BDB-4D3C-BCC4-C2BB82A96608}" sibTransId="{A3D256CA-018D-4C51-8058-AB0F39401C93}"/>
    <dgm:cxn modelId="{EEF0A9B9-1D0B-442C-B769-DEFC47A95ACE}" type="presOf" srcId="{32C64DB5-59E5-4836-A3A9-A65A103E855D}" destId="{25EF682F-B716-40BB-A7CC-A9FC8D13C756}" srcOrd="0" destOrd="0" presId="urn:microsoft.com/office/officeart/2005/8/layout/hierarchy2"/>
    <dgm:cxn modelId="{8C32D5E1-9E13-4689-9E97-4BFCAE0ED277}" type="presOf" srcId="{94984B82-26AB-4A30-B3FB-540782CFB737}" destId="{2038F894-D20B-4BC0-A684-7DDCE4E7C020}" srcOrd="0" destOrd="0" presId="urn:microsoft.com/office/officeart/2005/8/layout/hierarchy2"/>
    <dgm:cxn modelId="{C36AAAE8-5CA7-4BAC-BAC0-BBF26A5CDFAB}" type="presOf" srcId="{45AAF8E4-7407-4AED-93B3-9946762A834C}" destId="{70C2631E-069C-43DF-808C-52A1D18CE020}" srcOrd="0" destOrd="0" presId="urn:microsoft.com/office/officeart/2005/8/layout/hierarchy2"/>
    <dgm:cxn modelId="{D68F7803-AB06-43A8-A390-CDD20ED3DCDF}" type="presOf" srcId="{55B87EB1-8311-4BE1-9DF2-9DEBC59C7C8F}" destId="{017C10B6-9592-48E4-A2A4-DEBDB41769B9}" srcOrd="0" destOrd="0" presId="urn:microsoft.com/office/officeart/2005/8/layout/hierarchy2"/>
    <dgm:cxn modelId="{C9760D3B-02D7-464A-9734-DD43106679CB}" type="presOf" srcId="{56FEAF94-E505-44DC-9FD7-83966208ADEC}" destId="{9ECBB3B0-26AD-4FD6-9C68-B028A9D9D38F}" srcOrd="1" destOrd="0" presId="urn:microsoft.com/office/officeart/2005/8/layout/hierarchy2"/>
    <dgm:cxn modelId="{0FF07E2C-E812-460E-9311-5FF5427E46DB}" type="presOf" srcId="{D65E3445-3BDB-4D3C-BCC4-C2BB82A96608}" destId="{9AFE3296-4996-4CBF-9B3A-2965F8B32B3C}" srcOrd="1" destOrd="0" presId="urn:microsoft.com/office/officeart/2005/8/layout/hierarchy2"/>
    <dgm:cxn modelId="{6FFB5188-1D17-4681-AB68-BDEC66819E97}" type="presOf" srcId="{55B87EB1-8311-4BE1-9DF2-9DEBC59C7C8F}" destId="{EDC12E51-83FC-4DDD-A125-13BA0F97D147}" srcOrd="1" destOrd="0" presId="urn:microsoft.com/office/officeart/2005/8/layout/hierarchy2"/>
    <dgm:cxn modelId="{A07AEBFE-3D96-484C-BF95-E11070AA6703}" srcId="{45AAF8E4-7407-4AED-93B3-9946762A834C}" destId="{D4287748-512C-4EB4-A705-4A9720FFE3C7}" srcOrd="0" destOrd="0" parTransId="{29709F4F-B01A-4A23-B876-6E79B5576893}" sibTransId="{A57BEA87-633F-466E-AB46-421F56768355}"/>
    <dgm:cxn modelId="{75F5B4CD-89D2-412E-A457-28A682F2F576}" srcId="{D4287748-512C-4EB4-A705-4A9720FFE3C7}" destId="{89FFFFB6-B054-454D-97E4-91F549E2A669}" srcOrd="1" destOrd="0" parTransId="{38B7CBE8-3D66-43C8-B439-B4D9F2BDF878}" sibTransId="{06219219-6A53-4463-9019-0315BBA93642}"/>
    <dgm:cxn modelId="{AAE69758-2A27-464F-84C1-DDD02579A016}" srcId="{5411D8AC-DF56-455C-BCA3-3302D7893573}" destId="{DD2AE578-0798-4C52-AF31-7F481AE95EB2}" srcOrd="0" destOrd="0" parTransId="{705CF491-11B5-4C1F-91D6-D4956D43B080}" sibTransId="{881F8938-2FF0-4543-9B76-26DB70981B40}"/>
    <dgm:cxn modelId="{A5796A38-FDFE-413D-92C4-C2FD49959DE1}" type="presOf" srcId="{60AB7D46-ACB5-4F82-96B4-C163482ED529}" destId="{E74A71E9-03A5-4A4C-A75E-12CD4CF9BFA0}" srcOrd="0" destOrd="0" presId="urn:microsoft.com/office/officeart/2005/8/layout/hierarchy2"/>
    <dgm:cxn modelId="{17A33C3F-AC7B-4D9F-9646-BAA61D071C95}" type="presOf" srcId="{940234F1-A309-421D-955F-E2D57B46847E}" destId="{E3FEB2C8-B5AD-48AD-BB25-422B0347CB38}" srcOrd="1" destOrd="0" presId="urn:microsoft.com/office/officeart/2005/8/layout/hierarchy2"/>
    <dgm:cxn modelId="{BA394329-F201-405E-B722-56B3EC79DE4D}" srcId="{60AB7D46-ACB5-4F82-96B4-C163482ED529}" destId="{94984B82-26AB-4A30-B3FB-540782CFB737}" srcOrd="0" destOrd="0" parTransId="{55B87EB1-8311-4BE1-9DF2-9DEBC59C7C8F}" sibTransId="{B6227BFF-5AE5-4B5B-AFF4-EB7F8AD65CDB}"/>
    <dgm:cxn modelId="{642F9603-7EC3-4D3C-BDE8-59B319841A17}" type="presOf" srcId="{D65E3445-3BDB-4D3C-BCC4-C2BB82A96608}" destId="{C053548F-8C3A-4BC4-89B5-2C495BBB9F84}" srcOrd="0" destOrd="0" presId="urn:microsoft.com/office/officeart/2005/8/layout/hierarchy2"/>
    <dgm:cxn modelId="{415EAB26-C5F8-4C5E-962B-DC02C4B5BC4B}" type="presOf" srcId="{705CF491-11B5-4C1F-91D6-D4956D43B080}" destId="{A669541C-DBAD-4240-B020-61EA19056048}" srcOrd="1" destOrd="0" presId="urn:microsoft.com/office/officeart/2005/8/layout/hierarchy2"/>
    <dgm:cxn modelId="{1D26F5FA-BC59-4167-91EE-33087285F0EF}" type="presOf" srcId="{38B7CBE8-3D66-43C8-B439-B4D9F2BDF878}" destId="{1560600C-022A-478B-BC3E-8A9EB5EF2F3F}" srcOrd="0" destOrd="0" presId="urn:microsoft.com/office/officeart/2005/8/layout/hierarchy2"/>
    <dgm:cxn modelId="{2CE9E18C-98E9-46A8-9B52-192B815A6DD8}" type="presOf" srcId="{3B108F7E-6061-4CD1-B0AF-1519FCE14159}" destId="{75C5B2B0-3EDC-46D4-99BD-C94851347066}" srcOrd="0" destOrd="0" presId="urn:microsoft.com/office/officeart/2005/8/layout/hierarchy2"/>
    <dgm:cxn modelId="{685FEE44-A6F8-4B3D-B0A3-1C849B8F3FD8}" type="presOf" srcId="{D4287748-512C-4EB4-A705-4A9720FFE3C7}" destId="{BD962067-BE18-40EF-8639-34EA12C84FB5}" srcOrd="0" destOrd="0" presId="urn:microsoft.com/office/officeart/2005/8/layout/hierarchy2"/>
    <dgm:cxn modelId="{0F4B16A7-1CE8-4B71-9EF8-D0CA2563AE23}" type="presParOf" srcId="{70C2631E-069C-43DF-808C-52A1D18CE020}" destId="{DC4E6E5B-A80A-406F-ABBC-5B794BE519C6}" srcOrd="0" destOrd="0" presId="urn:microsoft.com/office/officeart/2005/8/layout/hierarchy2"/>
    <dgm:cxn modelId="{F3E971CA-452A-4EE6-8150-10069646BD16}" type="presParOf" srcId="{DC4E6E5B-A80A-406F-ABBC-5B794BE519C6}" destId="{BD962067-BE18-40EF-8639-34EA12C84FB5}" srcOrd="0" destOrd="0" presId="urn:microsoft.com/office/officeart/2005/8/layout/hierarchy2"/>
    <dgm:cxn modelId="{678BA7C4-C727-4518-A528-9B74831FBFFA}" type="presParOf" srcId="{DC4E6E5B-A80A-406F-ABBC-5B794BE519C6}" destId="{1F31BF44-AFBF-4227-AA26-4F426929F007}" srcOrd="1" destOrd="0" presId="urn:microsoft.com/office/officeart/2005/8/layout/hierarchy2"/>
    <dgm:cxn modelId="{8C0BA485-1275-4DA3-B51C-E5A6CDA630B9}" type="presParOf" srcId="{1F31BF44-AFBF-4227-AA26-4F426929F007}" destId="{FAA122F2-BB59-4A74-9F2D-14590D9C16C9}" srcOrd="0" destOrd="0" presId="urn:microsoft.com/office/officeart/2005/8/layout/hierarchy2"/>
    <dgm:cxn modelId="{491E9DDB-6B64-4F22-9520-B42E1D8FD2E2}" type="presParOf" srcId="{FAA122F2-BB59-4A74-9F2D-14590D9C16C9}" destId="{3C793D68-E205-4A2B-BB62-FFB830F8E8BA}" srcOrd="0" destOrd="0" presId="urn:microsoft.com/office/officeart/2005/8/layout/hierarchy2"/>
    <dgm:cxn modelId="{543C9BC4-1C94-4186-9C38-183E7921EC7D}" type="presParOf" srcId="{1F31BF44-AFBF-4227-AA26-4F426929F007}" destId="{2176FCB7-1215-4162-A838-F5D7C8B5DD1F}" srcOrd="1" destOrd="0" presId="urn:microsoft.com/office/officeart/2005/8/layout/hierarchy2"/>
    <dgm:cxn modelId="{599340F1-6FC2-466E-A23C-F60B2F6222F9}" type="presParOf" srcId="{2176FCB7-1215-4162-A838-F5D7C8B5DD1F}" destId="{75C5B2B0-3EDC-46D4-99BD-C94851347066}" srcOrd="0" destOrd="0" presId="urn:microsoft.com/office/officeart/2005/8/layout/hierarchy2"/>
    <dgm:cxn modelId="{EB985868-F43E-4EC4-A8EB-2DD874410277}" type="presParOf" srcId="{2176FCB7-1215-4162-A838-F5D7C8B5DD1F}" destId="{88A544CA-1C74-48FD-B798-2FDE4505F476}" srcOrd="1" destOrd="0" presId="urn:microsoft.com/office/officeart/2005/8/layout/hierarchy2"/>
    <dgm:cxn modelId="{C1BC4846-2497-4752-830F-76C5825702CA}" type="presParOf" srcId="{88A544CA-1C74-48FD-B798-2FDE4505F476}" destId="{25EF682F-B716-40BB-A7CC-A9FC8D13C756}" srcOrd="0" destOrd="0" presId="urn:microsoft.com/office/officeart/2005/8/layout/hierarchy2"/>
    <dgm:cxn modelId="{749BCEE0-F2D1-4A5C-A2B5-4D5E013F5DBA}" type="presParOf" srcId="{25EF682F-B716-40BB-A7CC-A9FC8D13C756}" destId="{7289AA24-A9C3-4E0C-935A-FD4A81F9442D}" srcOrd="0" destOrd="0" presId="urn:microsoft.com/office/officeart/2005/8/layout/hierarchy2"/>
    <dgm:cxn modelId="{F7493F6B-0C59-464B-900B-ACCEA892F1D9}" type="presParOf" srcId="{88A544CA-1C74-48FD-B798-2FDE4505F476}" destId="{E8312DD9-94AB-4F7D-B5C5-D41D7736337E}" srcOrd="1" destOrd="0" presId="urn:microsoft.com/office/officeart/2005/8/layout/hierarchy2"/>
    <dgm:cxn modelId="{D0DEDE16-C61E-4327-B8EB-92A1FF7595F0}" type="presParOf" srcId="{E8312DD9-94AB-4F7D-B5C5-D41D7736337E}" destId="{16EF2005-2D47-4DAB-9DD5-2F8B3E59612C}" srcOrd="0" destOrd="0" presId="urn:microsoft.com/office/officeart/2005/8/layout/hierarchy2"/>
    <dgm:cxn modelId="{7DBEE054-F584-4A00-A7E4-4428276A36CC}" type="presParOf" srcId="{E8312DD9-94AB-4F7D-B5C5-D41D7736337E}" destId="{B0520665-19DB-44EA-8954-98FEEB92042A}" srcOrd="1" destOrd="0" presId="urn:microsoft.com/office/officeart/2005/8/layout/hierarchy2"/>
    <dgm:cxn modelId="{19C69ADE-2D3B-443B-9858-76DD3EC1C81E}" type="presParOf" srcId="{B0520665-19DB-44EA-8954-98FEEB92042A}" destId="{CC2742F7-1E56-44AD-BDEE-094164213120}" srcOrd="0" destOrd="0" presId="urn:microsoft.com/office/officeart/2005/8/layout/hierarchy2"/>
    <dgm:cxn modelId="{AB6DA8CA-E4ED-411A-BD41-ACC6BEB12CB7}" type="presParOf" srcId="{CC2742F7-1E56-44AD-BDEE-094164213120}" destId="{A669541C-DBAD-4240-B020-61EA19056048}" srcOrd="0" destOrd="0" presId="urn:microsoft.com/office/officeart/2005/8/layout/hierarchy2"/>
    <dgm:cxn modelId="{A082E019-6BB5-43E2-8C4E-C152C35F61D1}" type="presParOf" srcId="{B0520665-19DB-44EA-8954-98FEEB92042A}" destId="{4B5AFAD1-1B75-410E-B72C-6E1E79DFAD1A}" srcOrd="1" destOrd="0" presId="urn:microsoft.com/office/officeart/2005/8/layout/hierarchy2"/>
    <dgm:cxn modelId="{AB2E37B6-21AC-4945-9FFB-2F6F130A06A5}" type="presParOf" srcId="{4B5AFAD1-1B75-410E-B72C-6E1E79DFAD1A}" destId="{464E5044-8B95-479A-A387-13A7B431C4E2}" srcOrd="0" destOrd="0" presId="urn:microsoft.com/office/officeart/2005/8/layout/hierarchy2"/>
    <dgm:cxn modelId="{2456E194-1599-4DB0-823B-992CE8DD6B22}" type="presParOf" srcId="{4B5AFAD1-1B75-410E-B72C-6E1E79DFAD1A}" destId="{66C1483B-84A0-4DC7-BA31-6702C7AE77B6}" srcOrd="1" destOrd="0" presId="urn:microsoft.com/office/officeart/2005/8/layout/hierarchy2"/>
    <dgm:cxn modelId="{4AE1F14C-3794-4CF6-992F-80ACC4EB98B4}" type="presParOf" srcId="{88A544CA-1C74-48FD-B798-2FDE4505F476}" destId="{7D9D2305-DCDC-4BAD-8233-6E3640AF2F7F}" srcOrd="2" destOrd="0" presId="urn:microsoft.com/office/officeart/2005/8/layout/hierarchy2"/>
    <dgm:cxn modelId="{E3BB6261-5E7C-45EE-B2D7-EE791A3016CB}" type="presParOf" srcId="{7D9D2305-DCDC-4BAD-8233-6E3640AF2F7F}" destId="{E3FEB2C8-B5AD-48AD-BB25-422B0347CB38}" srcOrd="0" destOrd="0" presId="urn:microsoft.com/office/officeart/2005/8/layout/hierarchy2"/>
    <dgm:cxn modelId="{7F946CB5-E32A-4215-9F67-0A1FC1B311BF}" type="presParOf" srcId="{88A544CA-1C74-48FD-B798-2FDE4505F476}" destId="{1017A9D9-B80F-492F-8716-B6EB2CE29047}" srcOrd="3" destOrd="0" presId="urn:microsoft.com/office/officeart/2005/8/layout/hierarchy2"/>
    <dgm:cxn modelId="{94852196-1DE1-4F81-931A-E8E093D66073}" type="presParOf" srcId="{1017A9D9-B80F-492F-8716-B6EB2CE29047}" destId="{56B58940-A6A8-4D81-8FA8-2CFDFEC1E4A4}" srcOrd="0" destOrd="0" presId="urn:microsoft.com/office/officeart/2005/8/layout/hierarchy2"/>
    <dgm:cxn modelId="{2FC603ED-81B7-4710-A19C-11B4803C1722}" type="presParOf" srcId="{1017A9D9-B80F-492F-8716-B6EB2CE29047}" destId="{1260423C-AEAB-4E5C-A772-443C30D1E5E8}" srcOrd="1" destOrd="0" presId="urn:microsoft.com/office/officeart/2005/8/layout/hierarchy2"/>
    <dgm:cxn modelId="{5338B2E8-B499-44D9-89D3-39038C5EA7C1}" type="presParOf" srcId="{1260423C-AEAB-4E5C-A772-443C30D1E5E8}" destId="{25A129D9-19DA-445C-B97B-5BEFBCCAFAD1}" srcOrd="0" destOrd="0" presId="urn:microsoft.com/office/officeart/2005/8/layout/hierarchy2"/>
    <dgm:cxn modelId="{089D220D-77D2-47F1-9C72-DE873FB22861}" type="presParOf" srcId="{25A129D9-19DA-445C-B97B-5BEFBCCAFAD1}" destId="{9ECBB3B0-26AD-4FD6-9C68-B028A9D9D38F}" srcOrd="0" destOrd="0" presId="urn:microsoft.com/office/officeart/2005/8/layout/hierarchy2"/>
    <dgm:cxn modelId="{ED5A18B5-EC21-47C7-AD02-08DD62DBAE26}" type="presParOf" srcId="{1260423C-AEAB-4E5C-A772-443C30D1E5E8}" destId="{2A8AAF0C-4006-4E7A-AA0F-2D3FCFFB498F}" srcOrd="1" destOrd="0" presId="urn:microsoft.com/office/officeart/2005/8/layout/hierarchy2"/>
    <dgm:cxn modelId="{3FC90CD6-D411-456C-B11A-966CF7485066}" type="presParOf" srcId="{2A8AAF0C-4006-4E7A-AA0F-2D3FCFFB498F}" destId="{20CAE6A4-E074-4ADF-891C-D4106F561D65}" srcOrd="0" destOrd="0" presId="urn:microsoft.com/office/officeart/2005/8/layout/hierarchy2"/>
    <dgm:cxn modelId="{E988C5FA-2687-42F7-A126-55FFC1DCAABB}" type="presParOf" srcId="{2A8AAF0C-4006-4E7A-AA0F-2D3FCFFB498F}" destId="{32C01F97-393B-4A2E-A508-C4E36B485C8D}" srcOrd="1" destOrd="0" presId="urn:microsoft.com/office/officeart/2005/8/layout/hierarchy2"/>
    <dgm:cxn modelId="{67E3215C-4130-489D-81D2-25D6445470B0}" type="presParOf" srcId="{1F31BF44-AFBF-4227-AA26-4F426929F007}" destId="{1560600C-022A-478B-BC3E-8A9EB5EF2F3F}" srcOrd="2" destOrd="0" presId="urn:microsoft.com/office/officeart/2005/8/layout/hierarchy2"/>
    <dgm:cxn modelId="{B0B58998-FB7B-4D13-91EF-BD8ED848611E}" type="presParOf" srcId="{1560600C-022A-478B-BC3E-8A9EB5EF2F3F}" destId="{9CDB1BAD-F38A-4871-87BB-98CBC169786A}" srcOrd="0" destOrd="0" presId="urn:microsoft.com/office/officeart/2005/8/layout/hierarchy2"/>
    <dgm:cxn modelId="{2FEB3911-5621-49FA-BDEC-5AC67D86FF4E}" type="presParOf" srcId="{1F31BF44-AFBF-4227-AA26-4F426929F007}" destId="{0D031051-B44A-4F83-AC99-86DFC936699D}" srcOrd="3" destOrd="0" presId="urn:microsoft.com/office/officeart/2005/8/layout/hierarchy2"/>
    <dgm:cxn modelId="{63565C83-FFD3-483D-B784-EF2702E0C135}" type="presParOf" srcId="{0D031051-B44A-4F83-AC99-86DFC936699D}" destId="{798B6D0F-8EF4-4EF5-94F0-F09F91E3B3FE}" srcOrd="0" destOrd="0" presId="urn:microsoft.com/office/officeart/2005/8/layout/hierarchy2"/>
    <dgm:cxn modelId="{F0A55F11-AADF-49BA-A91B-F202363092C7}" type="presParOf" srcId="{0D031051-B44A-4F83-AC99-86DFC936699D}" destId="{722ACA55-B1A8-4170-96BC-47875AD274FF}" srcOrd="1" destOrd="0" presId="urn:microsoft.com/office/officeart/2005/8/layout/hierarchy2"/>
    <dgm:cxn modelId="{C8487503-2352-48C6-A8BC-1BCD0A233FD1}" type="presParOf" srcId="{722ACA55-B1A8-4170-96BC-47875AD274FF}" destId="{C053548F-8C3A-4BC4-89B5-2C495BBB9F84}" srcOrd="0" destOrd="0" presId="urn:microsoft.com/office/officeart/2005/8/layout/hierarchy2"/>
    <dgm:cxn modelId="{A928DD53-7951-49D3-99FF-B739E69AA285}" type="presParOf" srcId="{C053548F-8C3A-4BC4-89B5-2C495BBB9F84}" destId="{9AFE3296-4996-4CBF-9B3A-2965F8B32B3C}" srcOrd="0" destOrd="0" presId="urn:microsoft.com/office/officeart/2005/8/layout/hierarchy2"/>
    <dgm:cxn modelId="{380F0C16-1B05-45A9-A09E-C64398C989A6}" type="presParOf" srcId="{722ACA55-B1A8-4170-96BC-47875AD274FF}" destId="{E102E18D-D7BC-4943-B9BC-277FBBA02EF1}" srcOrd="1" destOrd="0" presId="urn:microsoft.com/office/officeart/2005/8/layout/hierarchy2"/>
    <dgm:cxn modelId="{0F67D916-F325-4169-A569-E76DE427B230}" type="presParOf" srcId="{E102E18D-D7BC-4943-B9BC-277FBBA02EF1}" destId="{E74A71E9-03A5-4A4C-A75E-12CD4CF9BFA0}" srcOrd="0" destOrd="0" presId="urn:microsoft.com/office/officeart/2005/8/layout/hierarchy2"/>
    <dgm:cxn modelId="{218DF72D-7BFA-43D3-A21B-5496A4D5C1F7}" type="presParOf" srcId="{E102E18D-D7BC-4943-B9BC-277FBBA02EF1}" destId="{43BE6310-4D76-4871-ABE4-CA7D0D4A68A0}" srcOrd="1" destOrd="0" presId="urn:microsoft.com/office/officeart/2005/8/layout/hierarchy2"/>
    <dgm:cxn modelId="{979B352A-6E91-4743-BF9B-2CCF7BBCC980}" type="presParOf" srcId="{43BE6310-4D76-4871-ABE4-CA7D0D4A68A0}" destId="{017C10B6-9592-48E4-A2A4-DEBDB41769B9}" srcOrd="0" destOrd="0" presId="urn:microsoft.com/office/officeart/2005/8/layout/hierarchy2"/>
    <dgm:cxn modelId="{252F00AA-BA8B-4E9D-980C-B92F34349F80}" type="presParOf" srcId="{017C10B6-9592-48E4-A2A4-DEBDB41769B9}" destId="{EDC12E51-83FC-4DDD-A125-13BA0F97D147}" srcOrd="0" destOrd="0" presId="urn:microsoft.com/office/officeart/2005/8/layout/hierarchy2"/>
    <dgm:cxn modelId="{EF0384B5-AF03-4335-A63B-9B77FC422B02}" type="presParOf" srcId="{43BE6310-4D76-4871-ABE4-CA7D0D4A68A0}" destId="{9029563B-B0AA-4126-BD1D-30F26EAB47FF}" srcOrd="1" destOrd="0" presId="urn:microsoft.com/office/officeart/2005/8/layout/hierarchy2"/>
    <dgm:cxn modelId="{E45AEEB1-0D27-4700-B8B1-46A25CC7D5B8}" type="presParOf" srcId="{9029563B-B0AA-4126-BD1D-30F26EAB47FF}" destId="{2038F894-D20B-4BC0-A684-7DDCE4E7C020}" srcOrd="0" destOrd="0" presId="urn:microsoft.com/office/officeart/2005/8/layout/hierarchy2"/>
    <dgm:cxn modelId="{12A3972D-D16F-4A1F-AC72-F2720BE1AE53}" type="presParOf" srcId="{9029563B-B0AA-4126-BD1D-30F26EAB47FF}" destId="{4F35C379-75FC-4DAC-AE2A-4F45B0E2FAAD}"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4AD89F-97F0-4957-A841-93EFE5E6FC80}" type="doc">
      <dgm:prSet loTypeId="urn:microsoft.com/office/officeart/2005/8/layout/cycle3" loCatId="cycle" qsTypeId="urn:microsoft.com/office/officeart/2005/8/quickstyle/simple1" qsCatId="simple" csTypeId="urn:microsoft.com/office/officeart/2005/8/colors/accent0_1" csCatId="mainScheme" phldr="1"/>
      <dgm:spPr/>
      <dgm:t>
        <a:bodyPr/>
        <a:lstStyle/>
        <a:p>
          <a:endParaRPr lang="en-CA"/>
        </a:p>
      </dgm:t>
    </dgm:pt>
    <dgm:pt modelId="{B8C8687C-013F-43D6-9387-BC2869A09F1B}">
      <dgm:prSet phldrT="[Text]"/>
      <dgm:spPr/>
      <dgm:t>
        <a:bodyPr/>
        <a:lstStyle/>
        <a:p>
          <a:r>
            <a:rPr lang="en-CA"/>
            <a:t>1. Share Price is Fully Informative</a:t>
          </a:r>
        </a:p>
      </dgm:t>
    </dgm:pt>
    <dgm:pt modelId="{B96D0659-6B83-41F0-9134-40DBE314AEFE}" type="parTrans" cxnId="{A2CE45B1-100F-4A71-8AFD-4ED660331217}">
      <dgm:prSet/>
      <dgm:spPr/>
      <dgm:t>
        <a:bodyPr/>
        <a:lstStyle/>
        <a:p>
          <a:endParaRPr lang="en-CA"/>
        </a:p>
      </dgm:t>
    </dgm:pt>
    <dgm:pt modelId="{BC8C26F5-1550-4266-BF7A-25FAEC01DD0D}" type="sibTrans" cxnId="{A2CE45B1-100F-4A71-8AFD-4ED660331217}">
      <dgm:prSet/>
      <dgm:spPr/>
      <dgm:t>
        <a:bodyPr/>
        <a:lstStyle/>
        <a:p>
          <a:endParaRPr lang="en-CA"/>
        </a:p>
      </dgm:t>
    </dgm:pt>
    <dgm:pt modelId="{DBA51AEE-254C-439A-AF30-6B3028FAF60F}">
      <dgm:prSet phldrT="[Text]"/>
      <dgm:spPr/>
      <dgm:t>
        <a:bodyPr/>
        <a:lstStyle/>
        <a:p>
          <a:r>
            <a:rPr lang="en-CA"/>
            <a:t>2. Investors  stop gathering information</a:t>
          </a:r>
        </a:p>
      </dgm:t>
    </dgm:pt>
    <dgm:pt modelId="{6992B6BB-88F1-4918-9B97-322F17363BDD}" type="parTrans" cxnId="{3CD61E5B-7E98-4FEF-B273-44D4A9B18891}">
      <dgm:prSet/>
      <dgm:spPr/>
      <dgm:t>
        <a:bodyPr/>
        <a:lstStyle/>
        <a:p>
          <a:endParaRPr lang="en-CA"/>
        </a:p>
      </dgm:t>
    </dgm:pt>
    <dgm:pt modelId="{372A2B82-C4EB-4EA5-97D4-CD876C16B5BC}" type="sibTrans" cxnId="{3CD61E5B-7E98-4FEF-B273-44D4A9B18891}">
      <dgm:prSet/>
      <dgm:spPr/>
      <dgm:t>
        <a:bodyPr/>
        <a:lstStyle/>
        <a:p>
          <a:endParaRPr lang="en-CA"/>
        </a:p>
      </dgm:t>
    </dgm:pt>
    <dgm:pt modelId="{64879490-4DF5-473A-8712-988DFD26B718}">
      <dgm:prSet phldrT="[Text]"/>
      <dgm:spPr/>
      <dgm:t>
        <a:bodyPr/>
        <a:lstStyle/>
        <a:p>
          <a:r>
            <a:rPr lang="en-CA"/>
            <a:t>3. Fully informative share prices collapse; do not reflect all available information</a:t>
          </a:r>
        </a:p>
      </dgm:t>
    </dgm:pt>
    <dgm:pt modelId="{C7E25D1E-E108-4F42-BF4F-43E881564A49}" type="parTrans" cxnId="{2CF9CE27-1D34-4B4D-85F8-DD66EE340660}">
      <dgm:prSet/>
      <dgm:spPr/>
      <dgm:t>
        <a:bodyPr/>
        <a:lstStyle/>
        <a:p>
          <a:endParaRPr lang="en-CA"/>
        </a:p>
      </dgm:t>
    </dgm:pt>
    <dgm:pt modelId="{97AEDE80-9548-4A4D-A904-FAF902AE9845}" type="sibTrans" cxnId="{2CF9CE27-1D34-4B4D-85F8-DD66EE340660}">
      <dgm:prSet/>
      <dgm:spPr/>
      <dgm:t>
        <a:bodyPr/>
        <a:lstStyle/>
        <a:p>
          <a:endParaRPr lang="en-CA"/>
        </a:p>
      </dgm:t>
    </dgm:pt>
    <dgm:pt modelId="{ACAB507B-71EC-4761-993F-C07C9251FE18}">
      <dgm:prSet phldrT="[Text]"/>
      <dgm:spPr/>
      <dgm:t>
        <a:bodyPr/>
        <a:lstStyle/>
        <a:p>
          <a:r>
            <a:rPr lang="en-CA"/>
            <a:t>4. Investors realize it is worthwhile to gather information </a:t>
          </a:r>
        </a:p>
      </dgm:t>
    </dgm:pt>
    <dgm:pt modelId="{5FE6E623-B990-4DB7-8417-3A5B11856ADF}" type="parTrans" cxnId="{9DB76B82-B1C9-403C-ACDE-12E82026631F}">
      <dgm:prSet/>
      <dgm:spPr/>
      <dgm:t>
        <a:bodyPr/>
        <a:lstStyle/>
        <a:p>
          <a:endParaRPr lang="en-CA"/>
        </a:p>
      </dgm:t>
    </dgm:pt>
    <dgm:pt modelId="{04225A24-1282-468B-8E01-C8F478FD34A3}" type="sibTrans" cxnId="{9DB76B82-B1C9-403C-ACDE-12E82026631F}">
      <dgm:prSet/>
      <dgm:spPr/>
      <dgm:t>
        <a:bodyPr/>
        <a:lstStyle/>
        <a:p>
          <a:endParaRPr lang="en-CA"/>
        </a:p>
      </dgm:t>
    </dgm:pt>
    <dgm:pt modelId="{EB00F102-0DB3-4B8F-B005-D022CF2ACB56}" type="pres">
      <dgm:prSet presAssocID="{FF4AD89F-97F0-4957-A841-93EFE5E6FC80}" presName="Name0" presStyleCnt="0">
        <dgm:presLayoutVars>
          <dgm:dir/>
          <dgm:resizeHandles val="exact"/>
        </dgm:presLayoutVars>
      </dgm:prSet>
      <dgm:spPr/>
      <dgm:t>
        <a:bodyPr/>
        <a:lstStyle/>
        <a:p>
          <a:endParaRPr lang="en-CA"/>
        </a:p>
      </dgm:t>
    </dgm:pt>
    <dgm:pt modelId="{F0EB6F54-F0F5-4E25-ABAA-6704654FF1DD}" type="pres">
      <dgm:prSet presAssocID="{FF4AD89F-97F0-4957-A841-93EFE5E6FC80}" presName="cycle" presStyleCnt="0"/>
      <dgm:spPr/>
    </dgm:pt>
    <dgm:pt modelId="{0DE6C768-EDE9-484F-8A50-8F3AFAA2DE61}" type="pres">
      <dgm:prSet presAssocID="{B8C8687C-013F-43D6-9387-BC2869A09F1B}" presName="nodeFirstNode" presStyleLbl="node1" presStyleIdx="0" presStyleCnt="4">
        <dgm:presLayoutVars>
          <dgm:bulletEnabled val="1"/>
        </dgm:presLayoutVars>
      </dgm:prSet>
      <dgm:spPr/>
      <dgm:t>
        <a:bodyPr/>
        <a:lstStyle/>
        <a:p>
          <a:endParaRPr lang="en-CA"/>
        </a:p>
      </dgm:t>
    </dgm:pt>
    <dgm:pt modelId="{DBBAF1CB-EBB8-47E4-AE93-C6959D4274C5}" type="pres">
      <dgm:prSet presAssocID="{BC8C26F5-1550-4266-BF7A-25FAEC01DD0D}" presName="sibTransFirstNode" presStyleLbl="bgShp" presStyleIdx="0" presStyleCnt="1"/>
      <dgm:spPr/>
      <dgm:t>
        <a:bodyPr/>
        <a:lstStyle/>
        <a:p>
          <a:endParaRPr lang="en-CA"/>
        </a:p>
      </dgm:t>
    </dgm:pt>
    <dgm:pt modelId="{57869B12-610A-44D4-AFC4-2BCFF9C1E75C}" type="pres">
      <dgm:prSet presAssocID="{DBA51AEE-254C-439A-AF30-6B3028FAF60F}" presName="nodeFollowingNodes" presStyleLbl="node1" presStyleIdx="1" presStyleCnt="4">
        <dgm:presLayoutVars>
          <dgm:bulletEnabled val="1"/>
        </dgm:presLayoutVars>
      </dgm:prSet>
      <dgm:spPr/>
      <dgm:t>
        <a:bodyPr/>
        <a:lstStyle/>
        <a:p>
          <a:endParaRPr lang="en-CA"/>
        </a:p>
      </dgm:t>
    </dgm:pt>
    <dgm:pt modelId="{A2E1905F-CBB1-4588-9CA7-95BF0D4175CF}" type="pres">
      <dgm:prSet presAssocID="{64879490-4DF5-473A-8712-988DFD26B718}" presName="nodeFollowingNodes" presStyleLbl="node1" presStyleIdx="2" presStyleCnt="4">
        <dgm:presLayoutVars>
          <dgm:bulletEnabled val="1"/>
        </dgm:presLayoutVars>
      </dgm:prSet>
      <dgm:spPr/>
      <dgm:t>
        <a:bodyPr/>
        <a:lstStyle/>
        <a:p>
          <a:endParaRPr lang="en-CA"/>
        </a:p>
      </dgm:t>
    </dgm:pt>
    <dgm:pt modelId="{23633316-953F-47B0-91F7-3D8B14472823}" type="pres">
      <dgm:prSet presAssocID="{ACAB507B-71EC-4761-993F-C07C9251FE18}" presName="nodeFollowingNodes" presStyleLbl="node1" presStyleIdx="3" presStyleCnt="4">
        <dgm:presLayoutVars>
          <dgm:bulletEnabled val="1"/>
        </dgm:presLayoutVars>
      </dgm:prSet>
      <dgm:spPr/>
      <dgm:t>
        <a:bodyPr/>
        <a:lstStyle/>
        <a:p>
          <a:endParaRPr lang="en-CA"/>
        </a:p>
      </dgm:t>
    </dgm:pt>
  </dgm:ptLst>
  <dgm:cxnLst>
    <dgm:cxn modelId="{66B1BF11-2C3A-4DBB-B010-0C51007C122D}" type="presOf" srcId="{DBA51AEE-254C-439A-AF30-6B3028FAF60F}" destId="{57869B12-610A-44D4-AFC4-2BCFF9C1E75C}" srcOrd="0" destOrd="0" presId="urn:microsoft.com/office/officeart/2005/8/layout/cycle3"/>
    <dgm:cxn modelId="{87357B5B-D83D-4CD3-AD1B-1E77B7A97D71}" type="presOf" srcId="{64879490-4DF5-473A-8712-988DFD26B718}" destId="{A2E1905F-CBB1-4588-9CA7-95BF0D4175CF}" srcOrd="0" destOrd="0" presId="urn:microsoft.com/office/officeart/2005/8/layout/cycle3"/>
    <dgm:cxn modelId="{2CF9CE27-1D34-4B4D-85F8-DD66EE340660}" srcId="{FF4AD89F-97F0-4957-A841-93EFE5E6FC80}" destId="{64879490-4DF5-473A-8712-988DFD26B718}" srcOrd="2" destOrd="0" parTransId="{C7E25D1E-E108-4F42-BF4F-43E881564A49}" sibTransId="{97AEDE80-9548-4A4D-A904-FAF902AE9845}"/>
    <dgm:cxn modelId="{871EC44C-692D-4399-AA08-8D2DF8DE689B}" type="presOf" srcId="{B8C8687C-013F-43D6-9387-BC2869A09F1B}" destId="{0DE6C768-EDE9-484F-8A50-8F3AFAA2DE61}" srcOrd="0" destOrd="0" presId="urn:microsoft.com/office/officeart/2005/8/layout/cycle3"/>
    <dgm:cxn modelId="{3CD61E5B-7E98-4FEF-B273-44D4A9B18891}" srcId="{FF4AD89F-97F0-4957-A841-93EFE5E6FC80}" destId="{DBA51AEE-254C-439A-AF30-6B3028FAF60F}" srcOrd="1" destOrd="0" parTransId="{6992B6BB-88F1-4918-9B97-322F17363BDD}" sibTransId="{372A2B82-C4EB-4EA5-97D4-CD876C16B5BC}"/>
    <dgm:cxn modelId="{DE1CA835-7F40-45B1-BFA3-6217E65C12EF}" type="presOf" srcId="{BC8C26F5-1550-4266-BF7A-25FAEC01DD0D}" destId="{DBBAF1CB-EBB8-47E4-AE93-C6959D4274C5}" srcOrd="0" destOrd="0" presId="urn:microsoft.com/office/officeart/2005/8/layout/cycle3"/>
    <dgm:cxn modelId="{9DB76B82-B1C9-403C-ACDE-12E82026631F}" srcId="{FF4AD89F-97F0-4957-A841-93EFE5E6FC80}" destId="{ACAB507B-71EC-4761-993F-C07C9251FE18}" srcOrd="3" destOrd="0" parTransId="{5FE6E623-B990-4DB7-8417-3A5B11856ADF}" sibTransId="{04225A24-1282-468B-8E01-C8F478FD34A3}"/>
    <dgm:cxn modelId="{B307143F-5522-4A30-830B-BD38D12839CE}" type="presOf" srcId="{FF4AD89F-97F0-4957-A841-93EFE5E6FC80}" destId="{EB00F102-0DB3-4B8F-B005-D022CF2ACB56}" srcOrd="0" destOrd="0" presId="urn:microsoft.com/office/officeart/2005/8/layout/cycle3"/>
    <dgm:cxn modelId="{69D3CD10-9A9A-4EAE-B33F-A99CE0CD4276}" type="presOf" srcId="{ACAB507B-71EC-4761-993F-C07C9251FE18}" destId="{23633316-953F-47B0-91F7-3D8B14472823}" srcOrd="0" destOrd="0" presId="urn:microsoft.com/office/officeart/2005/8/layout/cycle3"/>
    <dgm:cxn modelId="{A2CE45B1-100F-4A71-8AFD-4ED660331217}" srcId="{FF4AD89F-97F0-4957-A841-93EFE5E6FC80}" destId="{B8C8687C-013F-43D6-9387-BC2869A09F1B}" srcOrd="0" destOrd="0" parTransId="{B96D0659-6B83-41F0-9134-40DBE314AEFE}" sibTransId="{BC8C26F5-1550-4266-BF7A-25FAEC01DD0D}"/>
    <dgm:cxn modelId="{238A2DEF-222B-442D-9C14-C0B0AAF75E96}" type="presParOf" srcId="{EB00F102-0DB3-4B8F-B005-D022CF2ACB56}" destId="{F0EB6F54-F0F5-4E25-ABAA-6704654FF1DD}" srcOrd="0" destOrd="0" presId="urn:microsoft.com/office/officeart/2005/8/layout/cycle3"/>
    <dgm:cxn modelId="{8232021A-8A46-45EC-BB9C-5BD3A6F3B2A7}" type="presParOf" srcId="{F0EB6F54-F0F5-4E25-ABAA-6704654FF1DD}" destId="{0DE6C768-EDE9-484F-8A50-8F3AFAA2DE61}" srcOrd="0" destOrd="0" presId="urn:microsoft.com/office/officeart/2005/8/layout/cycle3"/>
    <dgm:cxn modelId="{3E950AFA-054D-4831-A64F-709B6E40272A}" type="presParOf" srcId="{F0EB6F54-F0F5-4E25-ABAA-6704654FF1DD}" destId="{DBBAF1CB-EBB8-47E4-AE93-C6959D4274C5}" srcOrd="1" destOrd="0" presId="urn:microsoft.com/office/officeart/2005/8/layout/cycle3"/>
    <dgm:cxn modelId="{6924AFF8-35D2-4B6D-9486-69EA06D22842}" type="presParOf" srcId="{F0EB6F54-F0F5-4E25-ABAA-6704654FF1DD}" destId="{57869B12-610A-44D4-AFC4-2BCFF9C1E75C}" srcOrd="2" destOrd="0" presId="urn:microsoft.com/office/officeart/2005/8/layout/cycle3"/>
    <dgm:cxn modelId="{8215B61A-34E0-4960-94B0-9690178AEBB0}" type="presParOf" srcId="{F0EB6F54-F0F5-4E25-ABAA-6704654FF1DD}" destId="{A2E1905F-CBB1-4588-9CA7-95BF0D4175CF}" srcOrd="3" destOrd="0" presId="urn:microsoft.com/office/officeart/2005/8/layout/cycle3"/>
    <dgm:cxn modelId="{23DF5604-A19A-449C-97A5-DA0320B5FCF8}" type="presParOf" srcId="{F0EB6F54-F0F5-4E25-ABAA-6704654FF1DD}" destId="{23633316-953F-47B0-91F7-3D8B14472823}" srcOrd="4"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064864A-F44C-4C0B-A276-AEB26108C96B}" type="doc">
      <dgm:prSet loTypeId="urn:microsoft.com/office/officeart/2005/8/layout/chevron2" loCatId="list" qsTypeId="urn:microsoft.com/office/officeart/2005/8/quickstyle/simple1" qsCatId="simple" csTypeId="urn:microsoft.com/office/officeart/2005/8/colors/accent0_1" csCatId="mainScheme" phldr="1"/>
      <dgm:spPr/>
      <dgm:t>
        <a:bodyPr/>
        <a:lstStyle/>
        <a:p>
          <a:endParaRPr lang="en-CA"/>
        </a:p>
      </dgm:t>
    </dgm:pt>
    <dgm:pt modelId="{966BBDFC-9362-4282-9CF1-91E3B63FB81E}">
      <dgm:prSet phldrT="[Text]" custT="1"/>
      <dgm:spPr/>
      <dgm:t>
        <a:bodyPr/>
        <a:lstStyle/>
        <a:p>
          <a:endParaRPr lang="en-CA" sz="900"/>
        </a:p>
        <a:p>
          <a:r>
            <a:rPr lang="en-CA" sz="900"/>
            <a:t>1. Investor engages in buy/sell decision</a:t>
          </a:r>
        </a:p>
      </dgm:t>
    </dgm:pt>
    <dgm:pt modelId="{6C484F07-85B3-4A25-8FE0-F88387E711DE}" type="parTrans" cxnId="{062C334D-E33C-4586-A9B3-662770E68066}">
      <dgm:prSet/>
      <dgm:spPr/>
      <dgm:t>
        <a:bodyPr/>
        <a:lstStyle/>
        <a:p>
          <a:endParaRPr lang="en-CA"/>
        </a:p>
      </dgm:t>
    </dgm:pt>
    <dgm:pt modelId="{23B566FA-C748-41BB-A788-7A8CDFDFF4A7}" type="sibTrans" cxnId="{062C334D-E33C-4586-A9B3-662770E68066}">
      <dgm:prSet/>
      <dgm:spPr/>
      <dgm:t>
        <a:bodyPr/>
        <a:lstStyle/>
        <a:p>
          <a:endParaRPr lang="en-CA"/>
        </a:p>
      </dgm:t>
    </dgm:pt>
    <dgm:pt modelId="{CF003DCA-6165-4147-944B-B3714DDE346B}">
      <dgm:prSet phldrT="[Text]"/>
      <dgm:spPr/>
      <dgm:t>
        <a:bodyPr/>
        <a:lstStyle/>
        <a:p>
          <a:r>
            <a:rPr lang="en-CA"/>
            <a:t>considers the informativeness of price</a:t>
          </a:r>
        </a:p>
      </dgm:t>
    </dgm:pt>
    <dgm:pt modelId="{B5A32A9A-94E2-418A-A570-94B2966F40A2}" type="parTrans" cxnId="{F995B565-43D5-498C-A54F-88E7E05AED24}">
      <dgm:prSet/>
      <dgm:spPr/>
      <dgm:t>
        <a:bodyPr/>
        <a:lstStyle/>
        <a:p>
          <a:endParaRPr lang="en-CA"/>
        </a:p>
      </dgm:t>
    </dgm:pt>
    <dgm:pt modelId="{215448E3-7E1D-4DF6-84E0-76C2486AD463}" type="sibTrans" cxnId="{F995B565-43D5-498C-A54F-88E7E05AED24}">
      <dgm:prSet/>
      <dgm:spPr/>
      <dgm:t>
        <a:bodyPr/>
        <a:lstStyle/>
        <a:p>
          <a:endParaRPr lang="en-CA"/>
        </a:p>
      </dgm:t>
    </dgm:pt>
    <dgm:pt modelId="{2F91FE1B-E2D6-4B85-9B16-C7B810095A8A}">
      <dgm:prSet phldrT="[Text]"/>
      <dgm:spPr/>
      <dgm:t>
        <a:bodyPr/>
        <a:lstStyle/>
        <a:p>
          <a:r>
            <a:rPr lang="en-CA"/>
            <a:t>considers if price is due to noise trading</a:t>
          </a:r>
        </a:p>
      </dgm:t>
    </dgm:pt>
    <dgm:pt modelId="{0DC9A716-187B-4435-AB27-A12EC9D90DEF}" type="parTrans" cxnId="{64E3B94E-0D86-4A59-A001-2E2E7B8C1F40}">
      <dgm:prSet/>
      <dgm:spPr/>
      <dgm:t>
        <a:bodyPr/>
        <a:lstStyle/>
        <a:p>
          <a:endParaRPr lang="en-CA"/>
        </a:p>
      </dgm:t>
    </dgm:pt>
    <dgm:pt modelId="{C92844A0-044B-444E-A267-6956C32AAA07}" type="sibTrans" cxnId="{64E3B94E-0D86-4A59-A001-2E2E7B8C1F40}">
      <dgm:prSet/>
      <dgm:spPr/>
      <dgm:t>
        <a:bodyPr/>
        <a:lstStyle/>
        <a:p>
          <a:endParaRPr lang="en-CA"/>
        </a:p>
      </dgm:t>
    </dgm:pt>
    <dgm:pt modelId="{9FFA9502-06D9-4BC1-BEC8-A77FAE3DA622}">
      <dgm:prSet phldrT="[Text]" custT="1"/>
      <dgm:spPr/>
      <dgm:t>
        <a:bodyPr/>
        <a:lstStyle/>
        <a:p>
          <a:endParaRPr lang="en-CA" sz="900"/>
        </a:p>
        <a:p>
          <a:r>
            <a:rPr lang="en-CA" sz="900"/>
            <a:t>2. Investor gathers additional info</a:t>
          </a:r>
          <a:br>
            <a:rPr lang="en-CA" sz="900"/>
          </a:br>
          <a:r>
            <a:rPr lang="en-CA" sz="900"/>
            <a:t> </a:t>
          </a:r>
        </a:p>
      </dgm:t>
    </dgm:pt>
    <dgm:pt modelId="{B7AB2CFA-FC26-48D1-870C-CBD254A2016D}" type="parTrans" cxnId="{F885DC68-AE54-42A5-82C2-DCD93D97F981}">
      <dgm:prSet/>
      <dgm:spPr/>
      <dgm:t>
        <a:bodyPr/>
        <a:lstStyle/>
        <a:p>
          <a:endParaRPr lang="en-CA"/>
        </a:p>
      </dgm:t>
    </dgm:pt>
    <dgm:pt modelId="{0CA330AC-FBA3-4380-98D9-8FB609634E9E}" type="sibTrans" cxnId="{F885DC68-AE54-42A5-82C2-DCD93D97F981}">
      <dgm:prSet/>
      <dgm:spPr/>
      <dgm:t>
        <a:bodyPr/>
        <a:lstStyle/>
        <a:p>
          <a:endParaRPr lang="en-CA"/>
        </a:p>
      </dgm:t>
    </dgm:pt>
    <dgm:pt modelId="{EFE276E7-2978-45C6-91FD-C52A4A12B267}">
      <dgm:prSet phldrT="[Text]"/>
      <dgm:spPr/>
      <dgm:t>
        <a:bodyPr/>
        <a:lstStyle/>
        <a:p>
          <a:r>
            <a:rPr lang="en-CA"/>
            <a:t>considers the cost of acquiring new info</a:t>
          </a:r>
        </a:p>
      </dgm:t>
    </dgm:pt>
    <dgm:pt modelId="{AD2B44E5-5372-496F-BCB9-08CDF169FCA6}" type="parTrans" cxnId="{3F1073A3-381D-48FC-8DAA-D5595626B962}">
      <dgm:prSet/>
      <dgm:spPr/>
      <dgm:t>
        <a:bodyPr/>
        <a:lstStyle/>
        <a:p>
          <a:endParaRPr lang="en-CA"/>
        </a:p>
      </dgm:t>
    </dgm:pt>
    <dgm:pt modelId="{01CF660D-2FC9-44EC-B4D3-0FB8FBC94F3D}" type="sibTrans" cxnId="{3F1073A3-381D-48FC-8DAA-D5595626B962}">
      <dgm:prSet/>
      <dgm:spPr/>
      <dgm:t>
        <a:bodyPr/>
        <a:lstStyle/>
        <a:p>
          <a:endParaRPr lang="en-CA"/>
        </a:p>
      </dgm:t>
    </dgm:pt>
    <dgm:pt modelId="{F8600DDA-DE52-4B1B-8BE6-458305A4257F}">
      <dgm:prSet phldrT="[Text]"/>
      <dgm:spPr/>
      <dgm:t>
        <a:bodyPr/>
        <a:lstStyle/>
        <a:p>
          <a:r>
            <a:rPr lang="en-CA"/>
            <a:t>considers quality of financial statement information</a:t>
          </a:r>
        </a:p>
      </dgm:t>
    </dgm:pt>
    <dgm:pt modelId="{A146C4F2-BD6C-4D9B-A145-6682B2263751}" type="parTrans" cxnId="{E76C661F-C7AD-4020-B4AB-56D308FA8334}">
      <dgm:prSet/>
      <dgm:spPr/>
      <dgm:t>
        <a:bodyPr/>
        <a:lstStyle/>
        <a:p>
          <a:endParaRPr lang="en-CA"/>
        </a:p>
      </dgm:t>
    </dgm:pt>
    <dgm:pt modelId="{BEB82D48-4AFB-494E-ACA0-860C47003AD1}" type="sibTrans" cxnId="{E76C661F-C7AD-4020-B4AB-56D308FA8334}">
      <dgm:prSet/>
      <dgm:spPr/>
      <dgm:t>
        <a:bodyPr/>
        <a:lstStyle/>
        <a:p>
          <a:endParaRPr lang="en-CA"/>
        </a:p>
      </dgm:t>
    </dgm:pt>
    <dgm:pt modelId="{4411C940-3A4E-4FA7-93F2-856D8F1A4367}">
      <dgm:prSet phldrT="[Text]" custT="1"/>
      <dgm:spPr/>
      <dgm:t>
        <a:bodyPr/>
        <a:lstStyle/>
        <a:p>
          <a:endParaRPr lang="en-CA" sz="900"/>
        </a:p>
        <a:p>
          <a:r>
            <a:rPr lang="en-CA" sz="900"/>
            <a:t>3. Share prices Partially Informative</a:t>
          </a:r>
        </a:p>
      </dgm:t>
    </dgm:pt>
    <dgm:pt modelId="{CBB4AF8D-854E-4069-A4F5-3A90F03B028B}" type="parTrans" cxnId="{940E67DB-4A60-451D-A551-952DBB88DB0E}">
      <dgm:prSet/>
      <dgm:spPr/>
      <dgm:t>
        <a:bodyPr/>
        <a:lstStyle/>
        <a:p>
          <a:endParaRPr lang="en-CA"/>
        </a:p>
      </dgm:t>
    </dgm:pt>
    <dgm:pt modelId="{D8257E81-6C88-4813-BA17-4AFC57769CF3}" type="sibTrans" cxnId="{940E67DB-4A60-451D-A551-952DBB88DB0E}">
      <dgm:prSet/>
      <dgm:spPr/>
      <dgm:t>
        <a:bodyPr/>
        <a:lstStyle/>
        <a:p>
          <a:endParaRPr lang="en-CA"/>
        </a:p>
      </dgm:t>
    </dgm:pt>
    <dgm:pt modelId="{A680E9AA-DB37-49E9-90D6-DCF660C4F9C4}">
      <dgm:prSet phldrT="[Text]"/>
      <dgm:spPr/>
      <dgm:t>
        <a:bodyPr/>
        <a:lstStyle/>
        <a:p>
          <a:r>
            <a:rPr lang="en-CA"/>
            <a:t>Partially informative because it required investors' analysis of all available information to determine true price informativeness in the presence of noise trading</a:t>
          </a:r>
        </a:p>
      </dgm:t>
    </dgm:pt>
    <dgm:pt modelId="{DC834074-7E43-40CF-9BDB-DF1509291D68}" type="parTrans" cxnId="{01231C8A-86F0-4DA5-A915-55BE9AEE1C49}">
      <dgm:prSet/>
      <dgm:spPr/>
      <dgm:t>
        <a:bodyPr/>
        <a:lstStyle/>
        <a:p>
          <a:endParaRPr lang="en-CA"/>
        </a:p>
      </dgm:t>
    </dgm:pt>
    <dgm:pt modelId="{72567B66-58DA-4406-8BCC-13239494CC10}" type="sibTrans" cxnId="{01231C8A-86F0-4DA5-A915-55BE9AEE1C49}">
      <dgm:prSet/>
      <dgm:spPr/>
      <dgm:t>
        <a:bodyPr/>
        <a:lstStyle/>
        <a:p>
          <a:endParaRPr lang="en-CA"/>
        </a:p>
      </dgm:t>
    </dgm:pt>
    <dgm:pt modelId="{506D0391-7C05-4C1E-B03D-D01C5C542F8C}">
      <dgm:prSet phldrT="[Text]"/>
      <dgm:spPr/>
      <dgm:t>
        <a:bodyPr/>
        <a:lstStyle/>
        <a:p>
          <a:r>
            <a:rPr lang="en-CA"/>
            <a:t>Investor makes decision based on share price and new information and acts</a:t>
          </a:r>
        </a:p>
      </dgm:t>
    </dgm:pt>
    <dgm:pt modelId="{474098ED-EA2F-483F-8FB5-8A18FB0D37BC}" type="parTrans" cxnId="{8C8102D5-0C6C-4F3C-9E87-E132D4592C31}">
      <dgm:prSet/>
      <dgm:spPr/>
      <dgm:t>
        <a:bodyPr/>
        <a:lstStyle/>
        <a:p>
          <a:endParaRPr lang="en-CA"/>
        </a:p>
      </dgm:t>
    </dgm:pt>
    <dgm:pt modelId="{806AFBA3-E25A-411B-BF30-F6D95356732E}" type="sibTrans" cxnId="{8C8102D5-0C6C-4F3C-9E87-E132D4592C31}">
      <dgm:prSet/>
      <dgm:spPr/>
      <dgm:t>
        <a:bodyPr/>
        <a:lstStyle/>
        <a:p>
          <a:endParaRPr lang="en-CA"/>
        </a:p>
      </dgm:t>
    </dgm:pt>
    <dgm:pt modelId="{B4B19CC5-FDB7-442C-853D-BD6958D585C5}" type="pres">
      <dgm:prSet presAssocID="{3064864A-F44C-4C0B-A276-AEB26108C96B}" presName="linearFlow" presStyleCnt="0">
        <dgm:presLayoutVars>
          <dgm:dir/>
          <dgm:animLvl val="lvl"/>
          <dgm:resizeHandles val="exact"/>
        </dgm:presLayoutVars>
      </dgm:prSet>
      <dgm:spPr/>
      <dgm:t>
        <a:bodyPr/>
        <a:lstStyle/>
        <a:p>
          <a:endParaRPr lang="en-CA"/>
        </a:p>
      </dgm:t>
    </dgm:pt>
    <dgm:pt modelId="{14D30267-00DF-4681-9034-40F1014A7349}" type="pres">
      <dgm:prSet presAssocID="{966BBDFC-9362-4282-9CF1-91E3B63FB81E}" presName="composite" presStyleCnt="0"/>
      <dgm:spPr/>
    </dgm:pt>
    <dgm:pt modelId="{F069E0F4-66ED-42AA-989F-CD15B681326A}" type="pres">
      <dgm:prSet presAssocID="{966BBDFC-9362-4282-9CF1-91E3B63FB81E}" presName="parentText" presStyleLbl="alignNode1" presStyleIdx="0" presStyleCnt="3">
        <dgm:presLayoutVars>
          <dgm:chMax val="1"/>
          <dgm:bulletEnabled val="1"/>
        </dgm:presLayoutVars>
      </dgm:prSet>
      <dgm:spPr/>
      <dgm:t>
        <a:bodyPr/>
        <a:lstStyle/>
        <a:p>
          <a:endParaRPr lang="en-CA"/>
        </a:p>
      </dgm:t>
    </dgm:pt>
    <dgm:pt modelId="{A24B5D23-F719-458C-AA03-34CD6C46CE6C}" type="pres">
      <dgm:prSet presAssocID="{966BBDFC-9362-4282-9CF1-91E3B63FB81E}" presName="descendantText" presStyleLbl="alignAcc1" presStyleIdx="0" presStyleCnt="3">
        <dgm:presLayoutVars>
          <dgm:bulletEnabled val="1"/>
        </dgm:presLayoutVars>
      </dgm:prSet>
      <dgm:spPr/>
      <dgm:t>
        <a:bodyPr/>
        <a:lstStyle/>
        <a:p>
          <a:endParaRPr lang="en-CA"/>
        </a:p>
      </dgm:t>
    </dgm:pt>
    <dgm:pt modelId="{FCD4E2DD-2C3D-44D8-A0C7-F9EFFFF56C65}" type="pres">
      <dgm:prSet presAssocID="{23B566FA-C748-41BB-A788-7A8CDFDFF4A7}" presName="sp" presStyleCnt="0"/>
      <dgm:spPr/>
    </dgm:pt>
    <dgm:pt modelId="{EAA5D733-8AE5-48E1-BE63-C5F1AB2E4C59}" type="pres">
      <dgm:prSet presAssocID="{9FFA9502-06D9-4BC1-BEC8-A77FAE3DA622}" presName="composite" presStyleCnt="0"/>
      <dgm:spPr/>
    </dgm:pt>
    <dgm:pt modelId="{263C7D5D-10A2-414D-9C89-484A7B86108F}" type="pres">
      <dgm:prSet presAssocID="{9FFA9502-06D9-4BC1-BEC8-A77FAE3DA622}" presName="parentText" presStyleLbl="alignNode1" presStyleIdx="1" presStyleCnt="3">
        <dgm:presLayoutVars>
          <dgm:chMax val="1"/>
          <dgm:bulletEnabled val="1"/>
        </dgm:presLayoutVars>
      </dgm:prSet>
      <dgm:spPr/>
      <dgm:t>
        <a:bodyPr/>
        <a:lstStyle/>
        <a:p>
          <a:endParaRPr lang="en-CA"/>
        </a:p>
      </dgm:t>
    </dgm:pt>
    <dgm:pt modelId="{8B920FBD-15BC-4299-9FC1-F1CF0645024B}" type="pres">
      <dgm:prSet presAssocID="{9FFA9502-06D9-4BC1-BEC8-A77FAE3DA622}" presName="descendantText" presStyleLbl="alignAcc1" presStyleIdx="1" presStyleCnt="3">
        <dgm:presLayoutVars>
          <dgm:bulletEnabled val="1"/>
        </dgm:presLayoutVars>
      </dgm:prSet>
      <dgm:spPr/>
      <dgm:t>
        <a:bodyPr/>
        <a:lstStyle/>
        <a:p>
          <a:endParaRPr lang="en-CA"/>
        </a:p>
      </dgm:t>
    </dgm:pt>
    <dgm:pt modelId="{5EB18526-C2E9-4E2E-ABA9-D942FD76CF5A}" type="pres">
      <dgm:prSet presAssocID="{0CA330AC-FBA3-4380-98D9-8FB609634E9E}" presName="sp" presStyleCnt="0"/>
      <dgm:spPr/>
    </dgm:pt>
    <dgm:pt modelId="{D84DA58A-9F40-482D-8C0D-A85DC958D9C5}" type="pres">
      <dgm:prSet presAssocID="{4411C940-3A4E-4FA7-93F2-856D8F1A4367}" presName="composite" presStyleCnt="0"/>
      <dgm:spPr/>
    </dgm:pt>
    <dgm:pt modelId="{571B3453-A025-4F2A-A91F-33DF5CE23910}" type="pres">
      <dgm:prSet presAssocID="{4411C940-3A4E-4FA7-93F2-856D8F1A4367}" presName="parentText" presStyleLbl="alignNode1" presStyleIdx="2" presStyleCnt="3" custLinFactNeighborY="283">
        <dgm:presLayoutVars>
          <dgm:chMax val="1"/>
          <dgm:bulletEnabled val="1"/>
        </dgm:presLayoutVars>
      </dgm:prSet>
      <dgm:spPr/>
      <dgm:t>
        <a:bodyPr/>
        <a:lstStyle/>
        <a:p>
          <a:endParaRPr lang="en-CA"/>
        </a:p>
      </dgm:t>
    </dgm:pt>
    <dgm:pt modelId="{035E7931-1354-4EF6-8ABE-266F8707746D}" type="pres">
      <dgm:prSet presAssocID="{4411C940-3A4E-4FA7-93F2-856D8F1A4367}" presName="descendantText" presStyleLbl="alignAcc1" presStyleIdx="2" presStyleCnt="3">
        <dgm:presLayoutVars>
          <dgm:bulletEnabled val="1"/>
        </dgm:presLayoutVars>
      </dgm:prSet>
      <dgm:spPr/>
      <dgm:t>
        <a:bodyPr/>
        <a:lstStyle/>
        <a:p>
          <a:endParaRPr lang="en-CA"/>
        </a:p>
      </dgm:t>
    </dgm:pt>
  </dgm:ptLst>
  <dgm:cxnLst>
    <dgm:cxn modelId="{E76C661F-C7AD-4020-B4AB-56D308FA8334}" srcId="{9FFA9502-06D9-4BC1-BEC8-A77FAE3DA622}" destId="{F8600DDA-DE52-4B1B-8BE6-458305A4257F}" srcOrd="1" destOrd="0" parTransId="{A146C4F2-BD6C-4D9B-A145-6682B2263751}" sibTransId="{BEB82D48-4AFB-494E-ACA0-860C47003AD1}"/>
    <dgm:cxn modelId="{C3673DC6-E929-43E7-847B-80D757FABC9D}" type="presOf" srcId="{A680E9AA-DB37-49E9-90D6-DCF660C4F9C4}" destId="{035E7931-1354-4EF6-8ABE-266F8707746D}" srcOrd="0" destOrd="0" presId="urn:microsoft.com/office/officeart/2005/8/layout/chevron2"/>
    <dgm:cxn modelId="{940E67DB-4A60-451D-A551-952DBB88DB0E}" srcId="{3064864A-F44C-4C0B-A276-AEB26108C96B}" destId="{4411C940-3A4E-4FA7-93F2-856D8F1A4367}" srcOrd="2" destOrd="0" parTransId="{CBB4AF8D-854E-4069-A4F5-3A90F03B028B}" sibTransId="{D8257E81-6C88-4813-BA17-4AFC57769CF3}"/>
    <dgm:cxn modelId="{83A3F245-C5A6-4F07-9B10-412C67B9C6FF}" type="presOf" srcId="{4411C940-3A4E-4FA7-93F2-856D8F1A4367}" destId="{571B3453-A025-4F2A-A91F-33DF5CE23910}" srcOrd="0" destOrd="0" presId="urn:microsoft.com/office/officeart/2005/8/layout/chevron2"/>
    <dgm:cxn modelId="{3F1073A3-381D-48FC-8DAA-D5595626B962}" srcId="{9FFA9502-06D9-4BC1-BEC8-A77FAE3DA622}" destId="{EFE276E7-2978-45C6-91FD-C52A4A12B267}" srcOrd="0" destOrd="0" parTransId="{AD2B44E5-5372-496F-BCB9-08CDF169FCA6}" sibTransId="{01CF660D-2FC9-44EC-B4D3-0FB8FBC94F3D}"/>
    <dgm:cxn modelId="{5BEA0196-E486-4469-8632-289F22F2FCC1}" type="presOf" srcId="{F8600DDA-DE52-4B1B-8BE6-458305A4257F}" destId="{8B920FBD-15BC-4299-9FC1-F1CF0645024B}" srcOrd="0" destOrd="1" presId="urn:microsoft.com/office/officeart/2005/8/layout/chevron2"/>
    <dgm:cxn modelId="{062C334D-E33C-4586-A9B3-662770E68066}" srcId="{3064864A-F44C-4C0B-A276-AEB26108C96B}" destId="{966BBDFC-9362-4282-9CF1-91E3B63FB81E}" srcOrd="0" destOrd="0" parTransId="{6C484F07-85B3-4A25-8FE0-F88387E711DE}" sibTransId="{23B566FA-C748-41BB-A788-7A8CDFDFF4A7}"/>
    <dgm:cxn modelId="{F885DC68-AE54-42A5-82C2-DCD93D97F981}" srcId="{3064864A-F44C-4C0B-A276-AEB26108C96B}" destId="{9FFA9502-06D9-4BC1-BEC8-A77FAE3DA622}" srcOrd="1" destOrd="0" parTransId="{B7AB2CFA-FC26-48D1-870C-CBD254A2016D}" sibTransId="{0CA330AC-FBA3-4380-98D9-8FB609634E9E}"/>
    <dgm:cxn modelId="{A97424CC-9E0E-4FE9-A02C-0C90D6AD9BB3}" type="presOf" srcId="{2F91FE1B-E2D6-4B85-9B16-C7B810095A8A}" destId="{A24B5D23-F719-458C-AA03-34CD6C46CE6C}" srcOrd="0" destOrd="1" presId="urn:microsoft.com/office/officeart/2005/8/layout/chevron2"/>
    <dgm:cxn modelId="{F995B565-43D5-498C-A54F-88E7E05AED24}" srcId="{966BBDFC-9362-4282-9CF1-91E3B63FB81E}" destId="{CF003DCA-6165-4147-944B-B3714DDE346B}" srcOrd="0" destOrd="0" parTransId="{B5A32A9A-94E2-418A-A570-94B2966F40A2}" sibTransId="{215448E3-7E1D-4DF6-84E0-76C2486AD463}"/>
    <dgm:cxn modelId="{C346E9DC-94BB-4592-9B24-76C51135FA1C}" type="presOf" srcId="{966BBDFC-9362-4282-9CF1-91E3B63FB81E}" destId="{F069E0F4-66ED-42AA-989F-CD15B681326A}" srcOrd="0" destOrd="0" presId="urn:microsoft.com/office/officeart/2005/8/layout/chevron2"/>
    <dgm:cxn modelId="{64E3B94E-0D86-4A59-A001-2E2E7B8C1F40}" srcId="{966BBDFC-9362-4282-9CF1-91E3B63FB81E}" destId="{2F91FE1B-E2D6-4B85-9B16-C7B810095A8A}" srcOrd="1" destOrd="0" parTransId="{0DC9A716-187B-4435-AB27-A12EC9D90DEF}" sibTransId="{C92844A0-044B-444E-A267-6956C32AAA07}"/>
    <dgm:cxn modelId="{471F6A01-11F9-4F0E-A870-000AF9E8CBEA}" type="presOf" srcId="{9FFA9502-06D9-4BC1-BEC8-A77FAE3DA622}" destId="{263C7D5D-10A2-414D-9C89-484A7B86108F}" srcOrd="0" destOrd="0" presId="urn:microsoft.com/office/officeart/2005/8/layout/chevron2"/>
    <dgm:cxn modelId="{0F8DAE18-C652-4726-8A35-B24298A1EDAB}" type="presOf" srcId="{3064864A-F44C-4C0B-A276-AEB26108C96B}" destId="{B4B19CC5-FDB7-442C-853D-BD6958D585C5}" srcOrd="0" destOrd="0" presId="urn:microsoft.com/office/officeart/2005/8/layout/chevron2"/>
    <dgm:cxn modelId="{F49E4FDF-E1F5-496B-AAE8-5A1BE7BCB77A}" type="presOf" srcId="{EFE276E7-2978-45C6-91FD-C52A4A12B267}" destId="{8B920FBD-15BC-4299-9FC1-F1CF0645024B}" srcOrd="0" destOrd="0" presId="urn:microsoft.com/office/officeart/2005/8/layout/chevron2"/>
    <dgm:cxn modelId="{8C8102D5-0C6C-4F3C-9E87-E132D4592C31}" srcId="{4411C940-3A4E-4FA7-93F2-856D8F1A4367}" destId="{506D0391-7C05-4C1E-B03D-D01C5C542F8C}" srcOrd="1" destOrd="0" parTransId="{474098ED-EA2F-483F-8FB5-8A18FB0D37BC}" sibTransId="{806AFBA3-E25A-411B-BF30-F6D95356732E}"/>
    <dgm:cxn modelId="{6B72CBC8-8BE2-4D69-8C7B-27DCAABCD9ED}" type="presOf" srcId="{506D0391-7C05-4C1E-B03D-D01C5C542F8C}" destId="{035E7931-1354-4EF6-8ABE-266F8707746D}" srcOrd="0" destOrd="1" presId="urn:microsoft.com/office/officeart/2005/8/layout/chevron2"/>
    <dgm:cxn modelId="{A2E5FBEA-0BB0-487A-B2F8-7925B8A30D22}" type="presOf" srcId="{CF003DCA-6165-4147-944B-B3714DDE346B}" destId="{A24B5D23-F719-458C-AA03-34CD6C46CE6C}" srcOrd="0" destOrd="0" presId="urn:microsoft.com/office/officeart/2005/8/layout/chevron2"/>
    <dgm:cxn modelId="{01231C8A-86F0-4DA5-A915-55BE9AEE1C49}" srcId="{4411C940-3A4E-4FA7-93F2-856D8F1A4367}" destId="{A680E9AA-DB37-49E9-90D6-DCF660C4F9C4}" srcOrd="0" destOrd="0" parTransId="{DC834074-7E43-40CF-9BDB-DF1509291D68}" sibTransId="{72567B66-58DA-4406-8BCC-13239494CC10}"/>
    <dgm:cxn modelId="{16E4A847-6CB9-48F7-A8CB-28B198E2D63B}" type="presParOf" srcId="{B4B19CC5-FDB7-442C-853D-BD6958D585C5}" destId="{14D30267-00DF-4681-9034-40F1014A7349}" srcOrd="0" destOrd="0" presId="urn:microsoft.com/office/officeart/2005/8/layout/chevron2"/>
    <dgm:cxn modelId="{8F11ECC9-E2A5-494B-B47C-F93AA176F636}" type="presParOf" srcId="{14D30267-00DF-4681-9034-40F1014A7349}" destId="{F069E0F4-66ED-42AA-989F-CD15B681326A}" srcOrd="0" destOrd="0" presId="urn:microsoft.com/office/officeart/2005/8/layout/chevron2"/>
    <dgm:cxn modelId="{F04D6BD5-EFBE-4698-A75A-5D9DFB47FF89}" type="presParOf" srcId="{14D30267-00DF-4681-9034-40F1014A7349}" destId="{A24B5D23-F719-458C-AA03-34CD6C46CE6C}" srcOrd="1" destOrd="0" presId="urn:microsoft.com/office/officeart/2005/8/layout/chevron2"/>
    <dgm:cxn modelId="{346CF619-3AF7-4AEC-A632-4554D0093ACF}" type="presParOf" srcId="{B4B19CC5-FDB7-442C-853D-BD6958D585C5}" destId="{FCD4E2DD-2C3D-44D8-A0C7-F9EFFFF56C65}" srcOrd="1" destOrd="0" presId="urn:microsoft.com/office/officeart/2005/8/layout/chevron2"/>
    <dgm:cxn modelId="{ABBE56F9-AD7E-4978-9A85-697453D5E023}" type="presParOf" srcId="{B4B19CC5-FDB7-442C-853D-BD6958D585C5}" destId="{EAA5D733-8AE5-48E1-BE63-C5F1AB2E4C59}" srcOrd="2" destOrd="0" presId="urn:microsoft.com/office/officeart/2005/8/layout/chevron2"/>
    <dgm:cxn modelId="{DA2FE8D6-BBA9-41B4-AAC8-C4A7BC643F24}" type="presParOf" srcId="{EAA5D733-8AE5-48E1-BE63-C5F1AB2E4C59}" destId="{263C7D5D-10A2-414D-9C89-484A7B86108F}" srcOrd="0" destOrd="0" presId="urn:microsoft.com/office/officeart/2005/8/layout/chevron2"/>
    <dgm:cxn modelId="{98E9F12E-0A10-45A3-B9E5-CB53C714B292}" type="presParOf" srcId="{EAA5D733-8AE5-48E1-BE63-C5F1AB2E4C59}" destId="{8B920FBD-15BC-4299-9FC1-F1CF0645024B}" srcOrd="1" destOrd="0" presId="urn:microsoft.com/office/officeart/2005/8/layout/chevron2"/>
    <dgm:cxn modelId="{508916FD-56B5-4B71-AFC2-F98E81BE7523}" type="presParOf" srcId="{B4B19CC5-FDB7-442C-853D-BD6958D585C5}" destId="{5EB18526-C2E9-4E2E-ABA9-D942FD76CF5A}" srcOrd="3" destOrd="0" presId="urn:microsoft.com/office/officeart/2005/8/layout/chevron2"/>
    <dgm:cxn modelId="{93C5C30B-1DDE-44E3-BCF6-21A56A79F1D5}" type="presParOf" srcId="{B4B19CC5-FDB7-442C-853D-BD6958D585C5}" destId="{D84DA58A-9F40-482D-8C0D-A85DC958D9C5}" srcOrd="4" destOrd="0" presId="urn:microsoft.com/office/officeart/2005/8/layout/chevron2"/>
    <dgm:cxn modelId="{B9541FE2-DBC7-4AA2-98ED-90F2379C8EB2}" type="presParOf" srcId="{D84DA58A-9F40-482D-8C0D-A85DC958D9C5}" destId="{571B3453-A025-4F2A-A91F-33DF5CE23910}" srcOrd="0" destOrd="0" presId="urn:microsoft.com/office/officeart/2005/8/layout/chevron2"/>
    <dgm:cxn modelId="{9A3A8DFB-F99D-4F28-B0BC-AF82561A5423}" type="presParOf" srcId="{D84DA58A-9F40-482D-8C0D-A85DC958D9C5}" destId="{035E7931-1354-4EF6-8ABE-266F8707746D}"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C4741F7-7502-4025-84CD-FE17C89ED0B2}" type="doc">
      <dgm:prSet loTypeId="urn:microsoft.com/office/officeart/2005/8/layout/cycle2" loCatId="cycle" qsTypeId="urn:microsoft.com/office/officeart/2005/8/quickstyle/simple3" qsCatId="simple" csTypeId="urn:microsoft.com/office/officeart/2005/8/colors/accent0_1" csCatId="mainScheme" phldr="1"/>
      <dgm:spPr/>
      <dgm:t>
        <a:bodyPr/>
        <a:lstStyle/>
        <a:p>
          <a:endParaRPr lang="en-CA"/>
        </a:p>
      </dgm:t>
    </dgm:pt>
    <dgm:pt modelId="{2C928EED-62FB-4F42-8827-695ADE310F8E}">
      <dgm:prSet phldrT="[Text]"/>
      <dgm:spPr/>
      <dgm:t>
        <a:bodyPr/>
        <a:lstStyle/>
        <a:p>
          <a:pPr algn="ctr"/>
          <a:r>
            <a:rPr lang="en-CA"/>
            <a:t>Purchase of shares by overconfident and self-attribution biased investors</a:t>
          </a:r>
        </a:p>
      </dgm:t>
    </dgm:pt>
    <dgm:pt modelId="{1AB6FC31-F40C-4D30-91DA-668A050C8F65}" type="parTrans" cxnId="{7B947C80-93A5-48ED-A332-7708F3EF6FDC}">
      <dgm:prSet/>
      <dgm:spPr/>
      <dgm:t>
        <a:bodyPr/>
        <a:lstStyle/>
        <a:p>
          <a:pPr algn="ctr"/>
          <a:endParaRPr lang="en-CA"/>
        </a:p>
      </dgm:t>
    </dgm:pt>
    <dgm:pt modelId="{48E4E2BA-6965-4A5B-AF47-709B3796A3CE}" type="sibTrans" cxnId="{7B947C80-93A5-48ED-A332-7708F3EF6FDC}">
      <dgm:prSet/>
      <dgm:spPr/>
      <dgm:t>
        <a:bodyPr/>
        <a:lstStyle/>
        <a:p>
          <a:pPr algn="ctr"/>
          <a:endParaRPr lang="en-CA"/>
        </a:p>
      </dgm:t>
    </dgm:pt>
    <dgm:pt modelId="{BD18D5C1-CA78-4B78-A8AC-A4266F7D8E84}">
      <dgm:prSet phldrT="[Text]"/>
      <dgm:spPr/>
      <dgm:t>
        <a:bodyPr/>
        <a:lstStyle/>
        <a:p>
          <a:pPr algn="ctr"/>
          <a:r>
            <a:rPr lang="en-CA"/>
            <a:t>Rise in Share Price</a:t>
          </a:r>
        </a:p>
      </dgm:t>
    </dgm:pt>
    <dgm:pt modelId="{4F3A17A7-3B66-4ED0-A882-D5D1C3710932}" type="parTrans" cxnId="{090A507C-479F-4F40-9D2B-F923D55479D6}">
      <dgm:prSet/>
      <dgm:spPr/>
      <dgm:t>
        <a:bodyPr/>
        <a:lstStyle/>
        <a:p>
          <a:pPr algn="ctr"/>
          <a:endParaRPr lang="en-CA"/>
        </a:p>
      </dgm:t>
    </dgm:pt>
    <dgm:pt modelId="{BDBDACC2-6936-474D-97DF-A993EE68A287}" type="sibTrans" cxnId="{090A507C-479F-4F40-9D2B-F923D55479D6}">
      <dgm:prSet/>
      <dgm:spPr/>
      <dgm:t>
        <a:bodyPr/>
        <a:lstStyle/>
        <a:p>
          <a:pPr algn="ctr"/>
          <a:endParaRPr lang="en-CA"/>
        </a:p>
      </dgm:t>
    </dgm:pt>
    <dgm:pt modelId="{C98727FB-E77E-43DC-AA54-0B86E5F0989A}">
      <dgm:prSet phldrT="[Text]"/>
      <dgm:spPr/>
      <dgm:t>
        <a:bodyPr/>
        <a:lstStyle/>
        <a:p>
          <a:pPr algn="ctr"/>
          <a:r>
            <a:rPr lang="en-CA"/>
            <a:t>Investor's overconfidence reinforced</a:t>
          </a:r>
        </a:p>
      </dgm:t>
    </dgm:pt>
    <dgm:pt modelId="{ADF2D9E5-C0C8-4486-9C63-43A438DBE7B5}" type="parTrans" cxnId="{5D5ED46E-9AF7-414D-8DEC-EF6252B98A7C}">
      <dgm:prSet/>
      <dgm:spPr/>
      <dgm:t>
        <a:bodyPr/>
        <a:lstStyle/>
        <a:p>
          <a:pPr algn="ctr"/>
          <a:endParaRPr lang="en-CA"/>
        </a:p>
      </dgm:t>
    </dgm:pt>
    <dgm:pt modelId="{1D719E07-204F-4156-912B-80E263277FE7}" type="sibTrans" cxnId="{5D5ED46E-9AF7-414D-8DEC-EF6252B98A7C}">
      <dgm:prSet/>
      <dgm:spPr/>
      <dgm:t>
        <a:bodyPr/>
        <a:lstStyle/>
        <a:p>
          <a:pPr algn="ctr"/>
          <a:endParaRPr lang="en-CA"/>
        </a:p>
      </dgm:t>
    </dgm:pt>
    <dgm:pt modelId="{28406B4D-3F14-49CB-98D9-D20E93C045EC}" type="pres">
      <dgm:prSet presAssocID="{DC4741F7-7502-4025-84CD-FE17C89ED0B2}" presName="cycle" presStyleCnt="0">
        <dgm:presLayoutVars>
          <dgm:dir/>
          <dgm:resizeHandles val="exact"/>
        </dgm:presLayoutVars>
      </dgm:prSet>
      <dgm:spPr/>
      <dgm:t>
        <a:bodyPr/>
        <a:lstStyle/>
        <a:p>
          <a:endParaRPr lang="en-CA"/>
        </a:p>
      </dgm:t>
    </dgm:pt>
    <dgm:pt modelId="{74F4CF52-F6AD-4823-B399-86CC36C0FC23}" type="pres">
      <dgm:prSet presAssocID="{2C928EED-62FB-4F42-8827-695ADE310F8E}" presName="node" presStyleLbl="node1" presStyleIdx="0" presStyleCnt="3">
        <dgm:presLayoutVars>
          <dgm:bulletEnabled val="1"/>
        </dgm:presLayoutVars>
      </dgm:prSet>
      <dgm:spPr/>
      <dgm:t>
        <a:bodyPr/>
        <a:lstStyle/>
        <a:p>
          <a:endParaRPr lang="en-CA"/>
        </a:p>
      </dgm:t>
    </dgm:pt>
    <dgm:pt modelId="{2CEDD27C-6727-4644-B1D2-5C324B7686FD}" type="pres">
      <dgm:prSet presAssocID="{48E4E2BA-6965-4A5B-AF47-709B3796A3CE}" presName="sibTrans" presStyleLbl="sibTrans2D1" presStyleIdx="0" presStyleCnt="3"/>
      <dgm:spPr/>
      <dgm:t>
        <a:bodyPr/>
        <a:lstStyle/>
        <a:p>
          <a:endParaRPr lang="en-CA"/>
        </a:p>
      </dgm:t>
    </dgm:pt>
    <dgm:pt modelId="{9D18475A-6CC8-4BB7-A5F0-B3E01C09511C}" type="pres">
      <dgm:prSet presAssocID="{48E4E2BA-6965-4A5B-AF47-709B3796A3CE}" presName="connectorText" presStyleLbl="sibTrans2D1" presStyleIdx="0" presStyleCnt="3"/>
      <dgm:spPr/>
      <dgm:t>
        <a:bodyPr/>
        <a:lstStyle/>
        <a:p>
          <a:endParaRPr lang="en-CA"/>
        </a:p>
      </dgm:t>
    </dgm:pt>
    <dgm:pt modelId="{4612277D-7237-4ECD-B945-7B3EB8C9E476}" type="pres">
      <dgm:prSet presAssocID="{BD18D5C1-CA78-4B78-A8AC-A4266F7D8E84}" presName="node" presStyleLbl="node1" presStyleIdx="1" presStyleCnt="3">
        <dgm:presLayoutVars>
          <dgm:bulletEnabled val="1"/>
        </dgm:presLayoutVars>
      </dgm:prSet>
      <dgm:spPr/>
      <dgm:t>
        <a:bodyPr/>
        <a:lstStyle/>
        <a:p>
          <a:endParaRPr lang="en-CA"/>
        </a:p>
      </dgm:t>
    </dgm:pt>
    <dgm:pt modelId="{10459A81-9BC5-435C-BE29-F6749677FC1D}" type="pres">
      <dgm:prSet presAssocID="{BDBDACC2-6936-474D-97DF-A993EE68A287}" presName="sibTrans" presStyleLbl="sibTrans2D1" presStyleIdx="1" presStyleCnt="3"/>
      <dgm:spPr/>
      <dgm:t>
        <a:bodyPr/>
        <a:lstStyle/>
        <a:p>
          <a:endParaRPr lang="en-CA"/>
        </a:p>
      </dgm:t>
    </dgm:pt>
    <dgm:pt modelId="{80BE88E3-C076-42EC-8819-53A5C87E1795}" type="pres">
      <dgm:prSet presAssocID="{BDBDACC2-6936-474D-97DF-A993EE68A287}" presName="connectorText" presStyleLbl="sibTrans2D1" presStyleIdx="1" presStyleCnt="3"/>
      <dgm:spPr/>
      <dgm:t>
        <a:bodyPr/>
        <a:lstStyle/>
        <a:p>
          <a:endParaRPr lang="en-CA"/>
        </a:p>
      </dgm:t>
    </dgm:pt>
    <dgm:pt modelId="{6595CB4A-7CB4-466B-9D3A-9BE17D9EAE0A}" type="pres">
      <dgm:prSet presAssocID="{C98727FB-E77E-43DC-AA54-0B86E5F0989A}" presName="node" presStyleLbl="node1" presStyleIdx="2" presStyleCnt="3">
        <dgm:presLayoutVars>
          <dgm:bulletEnabled val="1"/>
        </dgm:presLayoutVars>
      </dgm:prSet>
      <dgm:spPr/>
      <dgm:t>
        <a:bodyPr/>
        <a:lstStyle/>
        <a:p>
          <a:endParaRPr lang="en-CA"/>
        </a:p>
      </dgm:t>
    </dgm:pt>
    <dgm:pt modelId="{95926396-29FE-4343-8446-D93E358EBA80}" type="pres">
      <dgm:prSet presAssocID="{1D719E07-204F-4156-912B-80E263277FE7}" presName="sibTrans" presStyleLbl="sibTrans2D1" presStyleIdx="2" presStyleCnt="3"/>
      <dgm:spPr/>
      <dgm:t>
        <a:bodyPr/>
        <a:lstStyle/>
        <a:p>
          <a:endParaRPr lang="en-CA"/>
        </a:p>
      </dgm:t>
    </dgm:pt>
    <dgm:pt modelId="{1697F632-77B4-4FC2-AF45-6324583413A2}" type="pres">
      <dgm:prSet presAssocID="{1D719E07-204F-4156-912B-80E263277FE7}" presName="connectorText" presStyleLbl="sibTrans2D1" presStyleIdx="2" presStyleCnt="3"/>
      <dgm:spPr/>
      <dgm:t>
        <a:bodyPr/>
        <a:lstStyle/>
        <a:p>
          <a:endParaRPr lang="en-CA"/>
        </a:p>
      </dgm:t>
    </dgm:pt>
  </dgm:ptLst>
  <dgm:cxnLst>
    <dgm:cxn modelId="{7B947C80-93A5-48ED-A332-7708F3EF6FDC}" srcId="{DC4741F7-7502-4025-84CD-FE17C89ED0B2}" destId="{2C928EED-62FB-4F42-8827-695ADE310F8E}" srcOrd="0" destOrd="0" parTransId="{1AB6FC31-F40C-4D30-91DA-668A050C8F65}" sibTransId="{48E4E2BA-6965-4A5B-AF47-709B3796A3CE}"/>
    <dgm:cxn modelId="{5D5ED46E-9AF7-414D-8DEC-EF6252B98A7C}" srcId="{DC4741F7-7502-4025-84CD-FE17C89ED0B2}" destId="{C98727FB-E77E-43DC-AA54-0B86E5F0989A}" srcOrd="2" destOrd="0" parTransId="{ADF2D9E5-C0C8-4486-9C63-43A438DBE7B5}" sibTransId="{1D719E07-204F-4156-912B-80E263277FE7}"/>
    <dgm:cxn modelId="{55512839-53D3-4B4C-A6C0-40954D15C24F}" type="presOf" srcId="{2C928EED-62FB-4F42-8827-695ADE310F8E}" destId="{74F4CF52-F6AD-4823-B399-86CC36C0FC23}" srcOrd="0" destOrd="0" presId="urn:microsoft.com/office/officeart/2005/8/layout/cycle2"/>
    <dgm:cxn modelId="{36E4CFF4-D216-40C4-983F-89974ED5EF53}" type="presOf" srcId="{1D719E07-204F-4156-912B-80E263277FE7}" destId="{1697F632-77B4-4FC2-AF45-6324583413A2}" srcOrd="1" destOrd="0" presId="urn:microsoft.com/office/officeart/2005/8/layout/cycle2"/>
    <dgm:cxn modelId="{B4DDBE30-1B94-4E13-9045-E3F33E919ACB}" type="presOf" srcId="{C98727FB-E77E-43DC-AA54-0B86E5F0989A}" destId="{6595CB4A-7CB4-466B-9D3A-9BE17D9EAE0A}" srcOrd="0" destOrd="0" presId="urn:microsoft.com/office/officeart/2005/8/layout/cycle2"/>
    <dgm:cxn modelId="{A023C42D-F39C-4657-9B35-3D860C1CA885}" type="presOf" srcId="{BDBDACC2-6936-474D-97DF-A993EE68A287}" destId="{80BE88E3-C076-42EC-8819-53A5C87E1795}" srcOrd="1" destOrd="0" presId="urn:microsoft.com/office/officeart/2005/8/layout/cycle2"/>
    <dgm:cxn modelId="{090A507C-479F-4F40-9D2B-F923D55479D6}" srcId="{DC4741F7-7502-4025-84CD-FE17C89ED0B2}" destId="{BD18D5C1-CA78-4B78-A8AC-A4266F7D8E84}" srcOrd="1" destOrd="0" parTransId="{4F3A17A7-3B66-4ED0-A882-D5D1C3710932}" sibTransId="{BDBDACC2-6936-474D-97DF-A993EE68A287}"/>
    <dgm:cxn modelId="{26C78D9A-AD5E-4102-B96E-6CDF43A7C357}" type="presOf" srcId="{BD18D5C1-CA78-4B78-A8AC-A4266F7D8E84}" destId="{4612277D-7237-4ECD-B945-7B3EB8C9E476}" srcOrd="0" destOrd="0" presId="urn:microsoft.com/office/officeart/2005/8/layout/cycle2"/>
    <dgm:cxn modelId="{DB202B37-8D8F-4748-8346-E78045769F97}" type="presOf" srcId="{1D719E07-204F-4156-912B-80E263277FE7}" destId="{95926396-29FE-4343-8446-D93E358EBA80}" srcOrd="0" destOrd="0" presId="urn:microsoft.com/office/officeart/2005/8/layout/cycle2"/>
    <dgm:cxn modelId="{E89AF725-3EA8-4BFC-97AB-9E3F77058158}" type="presOf" srcId="{48E4E2BA-6965-4A5B-AF47-709B3796A3CE}" destId="{9D18475A-6CC8-4BB7-A5F0-B3E01C09511C}" srcOrd="1" destOrd="0" presId="urn:microsoft.com/office/officeart/2005/8/layout/cycle2"/>
    <dgm:cxn modelId="{FD6A70AE-765F-499C-A961-DBA2FAC4BEEF}" type="presOf" srcId="{48E4E2BA-6965-4A5B-AF47-709B3796A3CE}" destId="{2CEDD27C-6727-4644-B1D2-5C324B7686FD}" srcOrd="0" destOrd="0" presId="urn:microsoft.com/office/officeart/2005/8/layout/cycle2"/>
    <dgm:cxn modelId="{85988036-40B4-4488-8574-8289E3117B58}" type="presOf" srcId="{DC4741F7-7502-4025-84CD-FE17C89ED0B2}" destId="{28406B4D-3F14-49CB-98D9-D20E93C045EC}" srcOrd="0" destOrd="0" presId="urn:microsoft.com/office/officeart/2005/8/layout/cycle2"/>
    <dgm:cxn modelId="{A1EA369D-B3C2-4695-A02C-CF5D43CFD587}" type="presOf" srcId="{BDBDACC2-6936-474D-97DF-A993EE68A287}" destId="{10459A81-9BC5-435C-BE29-F6749677FC1D}" srcOrd="0" destOrd="0" presId="urn:microsoft.com/office/officeart/2005/8/layout/cycle2"/>
    <dgm:cxn modelId="{A89FDE16-0418-4A68-A73D-28DE8C8486FC}" type="presParOf" srcId="{28406B4D-3F14-49CB-98D9-D20E93C045EC}" destId="{74F4CF52-F6AD-4823-B399-86CC36C0FC23}" srcOrd="0" destOrd="0" presId="urn:microsoft.com/office/officeart/2005/8/layout/cycle2"/>
    <dgm:cxn modelId="{FF606C99-9381-463C-B64D-15CBF567F02D}" type="presParOf" srcId="{28406B4D-3F14-49CB-98D9-D20E93C045EC}" destId="{2CEDD27C-6727-4644-B1D2-5C324B7686FD}" srcOrd="1" destOrd="0" presId="urn:microsoft.com/office/officeart/2005/8/layout/cycle2"/>
    <dgm:cxn modelId="{426D6576-DA0B-41D6-B2B6-2A895E7A1BEA}" type="presParOf" srcId="{2CEDD27C-6727-4644-B1D2-5C324B7686FD}" destId="{9D18475A-6CC8-4BB7-A5F0-B3E01C09511C}" srcOrd="0" destOrd="0" presId="urn:microsoft.com/office/officeart/2005/8/layout/cycle2"/>
    <dgm:cxn modelId="{292617DD-2DEC-462D-B345-0B619F7A4001}" type="presParOf" srcId="{28406B4D-3F14-49CB-98D9-D20E93C045EC}" destId="{4612277D-7237-4ECD-B945-7B3EB8C9E476}" srcOrd="2" destOrd="0" presId="urn:microsoft.com/office/officeart/2005/8/layout/cycle2"/>
    <dgm:cxn modelId="{2B238128-FA16-4CE0-9229-7EDD4AA5E86F}" type="presParOf" srcId="{28406B4D-3F14-49CB-98D9-D20E93C045EC}" destId="{10459A81-9BC5-435C-BE29-F6749677FC1D}" srcOrd="3" destOrd="0" presId="urn:microsoft.com/office/officeart/2005/8/layout/cycle2"/>
    <dgm:cxn modelId="{2508150A-ED7D-4E98-B4DB-2AE868129377}" type="presParOf" srcId="{10459A81-9BC5-435C-BE29-F6749677FC1D}" destId="{80BE88E3-C076-42EC-8819-53A5C87E1795}" srcOrd="0" destOrd="0" presId="urn:microsoft.com/office/officeart/2005/8/layout/cycle2"/>
    <dgm:cxn modelId="{0FB91CA0-9714-42C5-969B-00FF608355FF}" type="presParOf" srcId="{28406B4D-3F14-49CB-98D9-D20E93C045EC}" destId="{6595CB4A-7CB4-466B-9D3A-9BE17D9EAE0A}" srcOrd="4" destOrd="0" presId="urn:microsoft.com/office/officeart/2005/8/layout/cycle2"/>
    <dgm:cxn modelId="{A956ECFF-DB1C-44F7-90C3-4F9DD65A074A}" type="presParOf" srcId="{28406B4D-3F14-49CB-98D9-D20E93C045EC}" destId="{95926396-29FE-4343-8446-D93E358EBA80}" srcOrd="5" destOrd="0" presId="urn:microsoft.com/office/officeart/2005/8/layout/cycle2"/>
    <dgm:cxn modelId="{C128783B-D543-4942-ABB9-61A1D662139C}" type="presParOf" srcId="{95926396-29FE-4343-8446-D93E358EBA80}" destId="{1697F632-77B4-4FC2-AF45-6324583413A2}" srcOrd="0" destOrd="0" presId="urn:microsoft.com/office/officeart/2005/8/layout/cycle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F83ED52-724F-46CC-8A8F-EB807BF2E187}" type="doc">
      <dgm:prSet loTypeId="urn:microsoft.com/office/officeart/2005/8/layout/hProcess9" loCatId="process" qsTypeId="urn:microsoft.com/office/officeart/2005/8/quickstyle/simple1" qsCatId="simple" csTypeId="urn:microsoft.com/office/officeart/2005/8/colors/accent0_1" csCatId="mainScheme" phldr="1"/>
      <dgm:spPr/>
    </dgm:pt>
    <dgm:pt modelId="{4CD898D6-E733-4FFE-8B04-540140EE8D71}">
      <dgm:prSet phldrT="[Text]"/>
      <dgm:spPr/>
      <dgm:t>
        <a:bodyPr/>
        <a:lstStyle/>
        <a:p>
          <a:r>
            <a:rPr lang="en-CA"/>
            <a:t>Indiviuals dislike even small losses</a:t>
          </a:r>
        </a:p>
      </dgm:t>
    </dgm:pt>
    <dgm:pt modelId="{30CA5752-FC53-4DDD-B3B0-191E3B6BF2FA}" type="parTrans" cxnId="{5D8E6A2C-6889-47AA-947E-0605A7914D16}">
      <dgm:prSet/>
      <dgm:spPr/>
      <dgm:t>
        <a:bodyPr/>
        <a:lstStyle/>
        <a:p>
          <a:endParaRPr lang="en-CA"/>
        </a:p>
      </dgm:t>
    </dgm:pt>
    <dgm:pt modelId="{F9645565-C9BB-4D22-8246-5D0716B12F8B}" type="sibTrans" cxnId="{5D8E6A2C-6889-47AA-947E-0605A7914D16}">
      <dgm:prSet/>
      <dgm:spPr/>
      <dgm:t>
        <a:bodyPr/>
        <a:lstStyle/>
        <a:p>
          <a:endParaRPr lang="en-CA"/>
        </a:p>
      </dgm:t>
    </dgm:pt>
    <dgm:pt modelId="{37CBA6EA-1991-4BA5-A62D-71BCAF78CAD4}">
      <dgm:prSet phldrT="[Text]"/>
      <dgm:spPr/>
      <dgm:t>
        <a:bodyPr/>
        <a:lstStyle/>
        <a:p>
          <a:r>
            <a:rPr lang="en-CA"/>
            <a:t>Rate of utility for a loss decreases at a higher rate than utility increases for a gain</a:t>
          </a:r>
        </a:p>
      </dgm:t>
    </dgm:pt>
    <dgm:pt modelId="{FA4C2B1A-65A2-4D81-B200-A69E588F5BBD}" type="parTrans" cxnId="{6E6236F6-9BEC-4769-AAF7-CD43970ABD11}">
      <dgm:prSet/>
      <dgm:spPr/>
      <dgm:t>
        <a:bodyPr/>
        <a:lstStyle/>
        <a:p>
          <a:endParaRPr lang="en-CA"/>
        </a:p>
      </dgm:t>
    </dgm:pt>
    <dgm:pt modelId="{2F75D36A-E1DB-4C27-A063-A71F98C097C0}" type="sibTrans" cxnId="{6E6236F6-9BEC-4769-AAF7-CD43970ABD11}">
      <dgm:prSet/>
      <dgm:spPr/>
      <dgm:t>
        <a:bodyPr/>
        <a:lstStyle/>
        <a:p>
          <a:endParaRPr lang="en-CA"/>
        </a:p>
      </dgm:t>
    </dgm:pt>
    <dgm:pt modelId="{8CCCB363-961B-4AAF-BCCD-0065B9B09D7E}">
      <dgm:prSet phldrT="[Text]"/>
      <dgm:spPr/>
      <dgm:t>
        <a:bodyPr/>
        <a:lstStyle/>
        <a:p>
          <a:r>
            <a:rPr lang="en-CA"/>
            <a:t>Disposition Effect</a:t>
          </a:r>
        </a:p>
      </dgm:t>
    </dgm:pt>
    <dgm:pt modelId="{38118B87-BC8B-4A09-8927-0A3F62D576E4}" type="parTrans" cxnId="{5E889C84-F016-469A-A967-C394340079D3}">
      <dgm:prSet/>
      <dgm:spPr/>
      <dgm:t>
        <a:bodyPr/>
        <a:lstStyle/>
        <a:p>
          <a:endParaRPr lang="en-CA"/>
        </a:p>
      </dgm:t>
    </dgm:pt>
    <dgm:pt modelId="{4471A24E-B103-4EAF-B4B3-8FDD364C9B8C}" type="sibTrans" cxnId="{5E889C84-F016-469A-A967-C394340079D3}">
      <dgm:prSet/>
      <dgm:spPr/>
      <dgm:t>
        <a:bodyPr/>
        <a:lstStyle/>
        <a:p>
          <a:endParaRPr lang="en-CA"/>
        </a:p>
      </dgm:t>
    </dgm:pt>
    <dgm:pt modelId="{539437D8-74B1-4AB9-A21A-AED3446F5187}">
      <dgm:prSet phldrT="[Text]"/>
      <dgm:spPr/>
      <dgm:t>
        <a:bodyPr/>
        <a:lstStyle/>
        <a:p>
          <a:r>
            <a:rPr lang="en-CA"/>
            <a:t>Investors hold on to losers and sellswinners</a:t>
          </a:r>
        </a:p>
      </dgm:t>
    </dgm:pt>
    <dgm:pt modelId="{095E22D9-B570-4737-B79A-8EA2A86B71C9}" type="parTrans" cxnId="{3C120A3B-F44C-4918-8043-2EAF8BCC020F}">
      <dgm:prSet/>
      <dgm:spPr/>
      <dgm:t>
        <a:bodyPr/>
        <a:lstStyle/>
        <a:p>
          <a:endParaRPr lang="en-CA"/>
        </a:p>
      </dgm:t>
    </dgm:pt>
    <dgm:pt modelId="{E81EF84F-EFBF-4C6B-A4C3-81F120A2B980}" type="sibTrans" cxnId="{3C120A3B-F44C-4918-8043-2EAF8BCC020F}">
      <dgm:prSet/>
      <dgm:spPr/>
      <dgm:t>
        <a:bodyPr/>
        <a:lstStyle/>
        <a:p>
          <a:endParaRPr lang="en-CA"/>
        </a:p>
      </dgm:t>
    </dgm:pt>
    <dgm:pt modelId="{108511E0-AFF0-46DD-9B66-36B801D508B6}">
      <dgm:prSet phldrT="[Text]"/>
      <dgm:spPr/>
      <dgm:t>
        <a:bodyPr/>
        <a:lstStyle/>
        <a:p>
          <a:r>
            <a:rPr lang="en-CA"/>
            <a:t>Risk-Averse to gains; Risk-Takers to losses</a:t>
          </a:r>
        </a:p>
      </dgm:t>
    </dgm:pt>
    <dgm:pt modelId="{A65EE50A-7320-4B40-9C8F-E957CC274AC8}" type="parTrans" cxnId="{46B941D5-3B98-4368-87A6-938BE6BBD482}">
      <dgm:prSet/>
      <dgm:spPr/>
      <dgm:t>
        <a:bodyPr/>
        <a:lstStyle/>
        <a:p>
          <a:endParaRPr lang="en-CA"/>
        </a:p>
      </dgm:t>
    </dgm:pt>
    <dgm:pt modelId="{0E9E92B5-D641-4BFE-B260-D35A4706E3D9}" type="sibTrans" cxnId="{46B941D5-3B98-4368-87A6-938BE6BBD482}">
      <dgm:prSet/>
      <dgm:spPr/>
      <dgm:t>
        <a:bodyPr/>
        <a:lstStyle/>
        <a:p>
          <a:endParaRPr lang="en-CA"/>
        </a:p>
      </dgm:t>
    </dgm:pt>
    <dgm:pt modelId="{92425EB7-3E1B-4CED-BD67-097C839F8093}" type="pres">
      <dgm:prSet presAssocID="{8F83ED52-724F-46CC-8A8F-EB807BF2E187}" presName="CompostProcess" presStyleCnt="0">
        <dgm:presLayoutVars>
          <dgm:dir/>
          <dgm:resizeHandles val="exact"/>
        </dgm:presLayoutVars>
      </dgm:prSet>
      <dgm:spPr/>
    </dgm:pt>
    <dgm:pt modelId="{B7451672-F50A-4B2E-8DC8-3A79A1E6F051}" type="pres">
      <dgm:prSet presAssocID="{8F83ED52-724F-46CC-8A8F-EB807BF2E187}" presName="arrow" presStyleLbl="bgShp" presStyleIdx="0" presStyleCnt="1"/>
      <dgm:spPr/>
    </dgm:pt>
    <dgm:pt modelId="{06EC824E-4CEF-452A-B10A-644C4AEB14D5}" type="pres">
      <dgm:prSet presAssocID="{8F83ED52-724F-46CC-8A8F-EB807BF2E187}" presName="linearProcess" presStyleCnt="0"/>
      <dgm:spPr/>
    </dgm:pt>
    <dgm:pt modelId="{A8ECCDD8-F929-4010-AF0F-01A5D222A4A3}" type="pres">
      <dgm:prSet presAssocID="{4CD898D6-E733-4FFE-8B04-540140EE8D71}" presName="textNode" presStyleLbl="node1" presStyleIdx="0" presStyleCnt="5">
        <dgm:presLayoutVars>
          <dgm:bulletEnabled val="1"/>
        </dgm:presLayoutVars>
      </dgm:prSet>
      <dgm:spPr/>
      <dgm:t>
        <a:bodyPr/>
        <a:lstStyle/>
        <a:p>
          <a:endParaRPr lang="en-CA"/>
        </a:p>
      </dgm:t>
    </dgm:pt>
    <dgm:pt modelId="{FE3B2519-C6A9-42D2-96EA-03A314684B36}" type="pres">
      <dgm:prSet presAssocID="{F9645565-C9BB-4D22-8246-5D0716B12F8B}" presName="sibTrans" presStyleCnt="0"/>
      <dgm:spPr/>
    </dgm:pt>
    <dgm:pt modelId="{F10D8815-C8AB-4392-915C-4A77B4602894}" type="pres">
      <dgm:prSet presAssocID="{37CBA6EA-1991-4BA5-A62D-71BCAF78CAD4}" presName="textNode" presStyleLbl="node1" presStyleIdx="1" presStyleCnt="5">
        <dgm:presLayoutVars>
          <dgm:bulletEnabled val="1"/>
        </dgm:presLayoutVars>
      </dgm:prSet>
      <dgm:spPr/>
      <dgm:t>
        <a:bodyPr/>
        <a:lstStyle/>
        <a:p>
          <a:endParaRPr lang="en-CA"/>
        </a:p>
      </dgm:t>
    </dgm:pt>
    <dgm:pt modelId="{906F73AC-8D1F-4CE1-88B9-6C1122D036B1}" type="pres">
      <dgm:prSet presAssocID="{2F75D36A-E1DB-4C27-A063-A71F98C097C0}" presName="sibTrans" presStyleCnt="0"/>
      <dgm:spPr/>
    </dgm:pt>
    <dgm:pt modelId="{0A86792E-2A2F-4EAD-9584-2FAEB59330DB}" type="pres">
      <dgm:prSet presAssocID="{8CCCB363-961B-4AAF-BCCD-0065B9B09D7E}" presName="textNode" presStyleLbl="node1" presStyleIdx="2" presStyleCnt="5">
        <dgm:presLayoutVars>
          <dgm:bulletEnabled val="1"/>
        </dgm:presLayoutVars>
      </dgm:prSet>
      <dgm:spPr/>
      <dgm:t>
        <a:bodyPr/>
        <a:lstStyle/>
        <a:p>
          <a:endParaRPr lang="en-CA"/>
        </a:p>
      </dgm:t>
    </dgm:pt>
    <dgm:pt modelId="{E85A9881-B535-4973-A2E7-544DEC368DDE}" type="pres">
      <dgm:prSet presAssocID="{4471A24E-B103-4EAF-B4B3-8FDD364C9B8C}" presName="sibTrans" presStyleCnt="0"/>
      <dgm:spPr/>
    </dgm:pt>
    <dgm:pt modelId="{547A4E75-92EA-4B43-B6EE-61FF6E6AED82}" type="pres">
      <dgm:prSet presAssocID="{108511E0-AFF0-46DD-9B66-36B801D508B6}" presName="textNode" presStyleLbl="node1" presStyleIdx="3" presStyleCnt="5">
        <dgm:presLayoutVars>
          <dgm:bulletEnabled val="1"/>
        </dgm:presLayoutVars>
      </dgm:prSet>
      <dgm:spPr/>
      <dgm:t>
        <a:bodyPr/>
        <a:lstStyle/>
        <a:p>
          <a:endParaRPr lang="en-CA"/>
        </a:p>
      </dgm:t>
    </dgm:pt>
    <dgm:pt modelId="{9B75F681-4A67-44C6-9564-B44A7C153591}" type="pres">
      <dgm:prSet presAssocID="{0E9E92B5-D641-4BFE-B260-D35A4706E3D9}" presName="sibTrans" presStyleCnt="0"/>
      <dgm:spPr/>
    </dgm:pt>
    <dgm:pt modelId="{4A7E0BC8-0022-43C8-BAE2-9518BDF2D6C1}" type="pres">
      <dgm:prSet presAssocID="{539437D8-74B1-4AB9-A21A-AED3446F5187}" presName="textNode" presStyleLbl="node1" presStyleIdx="4" presStyleCnt="5">
        <dgm:presLayoutVars>
          <dgm:bulletEnabled val="1"/>
        </dgm:presLayoutVars>
      </dgm:prSet>
      <dgm:spPr/>
      <dgm:t>
        <a:bodyPr/>
        <a:lstStyle/>
        <a:p>
          <a:endParaRPr lang="en-CA"/>
        </a:p>
      </dgm:t>
    </dgm:pt>
  </dgm:ptLst>
  <dgm:cxnLst>
    <dgm:cxn modelId="{5D8E6A2C-6889-47AA-947E-0605A7914D16}" srcId="{8F83ED52-724F-46CC-8A8F-EB807BF2E187}" destId="{4CD898D6-E733-4FFE-8B04-540140EE8D71}" srcOrd="0" destOrd="0" parTransId="{30CA5752-FC53-4DDD-B3B0-191E3B6BF2FA}" sibTransId="{F9645565-C9BB-4D22-8246-5D0716B12F8B}"/>
    <dgm:cxn modelId="{46B941D5-3B98-4368-87A6-938BE6BBD482}" srcId="{8F83ED52-724F-46CC-8A8F-EB807BF2E187}" destId="{108511E0-AFF0-46DD-9B66-36B801D508B6}" srcOrd="3" destOrd="0" parTransId="{A65EE50A-7320-4B40-9C8F-E957CC274AC8}" sibTransId="{0E9E92B5-D641-4BFE-B260-D35A4706E3D9}"/>
    <dgm:cxn modelId="{183357D5-06B7-4878-9D09-7D2E591F7C44}" type="presOf" srcId="{539437D8-74B1-4AB9-A21A-AED3446F5187}" destId="{4A7E0BC8-0022-43C8-BAE2-9518BDF2D6C1}" srcOrd="0" destOrd="0" presId="urn:microsoft.com/office/officeart/2005/8/layout/hProcess9"/>
    <dgm:cxn modelId="{52978F06-D29C-4731-9621-14B48FAD8864}" type="presOf" srcId="{8F83ED52-724F-46CC-8A8F-EB807BF2E187}" destId="{92425EB7-3E1B-4CED-BD67-097C839F8093}" srcOrd="0" destOrd="0" presId="urn:microsoft.com/office/officeart/2005/8/layout/hProcess9"/>
    <dgm:cxn modelId="{B3739D8C-A980-4F2C-AF41-AB84047714E8}" type="presOf" srcId="{37CBA6EA-1991-4BA5-A62D-71BCAF78CAD4}" destId="{F10D8815-C8AB-4392-915C-4A77B4602894}" srcOrd="0" destOrd="0" presId="urn:microsoft.com/office/officeart/2005/8/layout/hProcess9"/>
    <dgm:cxn modelId="{FBDA03D3-FFB9-4645-B8FD-1A9270E49712}" type="presOf" srcId="{108511E0-AFF0-46DD-9B66-36B801D508B6}" destId="{547A4E75-92EA-4B43-B6EE-61FF6E6AED82}" srcOrd="0" destOrd="0" presId="urn:microsoft.com/office/officeart/2005/8/layout/hProcess9"/>
    <dgm:cxn modelId="{D30D3E8F-8578-48F2-BB66-59061C55A861}" type="presOf" srcId="{8CCCB363-961B-4AAF-BCCD-0065B9B09D7E}" destId="{0A86792E-2A2F-4EAD-9584-2FAEB59330DB}" srcOrd="0" destOrd="0" presId="urn:microsoft.com/office/officeart/2005/8/layout/hProcess9"/>
    <dgm:cxn modelId="{3C120A3B-F44C-4918-8043-2EAF8BCC020F}" srcId="{8F83ED52-724F-46CC-8A8F-EB807BF2E187}" destId="{539437D8-74B1-4AB9-A21A-AED3446F5187}" srcOrd="4" destOrd="0" parTransId="{095E22D9-B570-4737-B79A-8EA2A86B71C9}" sibTransId="{E81EF84F-EFBF-4C6B-A4C3-81F120A2B980}"/>
    <dgm:cxn modelId="{9BDB196B-262E-4A5C-B36F-6F7E7FAB8173}" type="presOf" srcId="{4CD898D6-E733-4FFE-8B04-540140EE8D71}" destId="{A8ECCDD8-F929-4010-AF0F-01A5D222A4A3}" srcOrd="0" destOrd="0" presId="urn:microsoft.com/office/officeart/2005/8/layout/hProcess9"/>
    <dgm:cxn modelId="{6E6236F6-9BEC-4769-AAF7-CD43970ABD11}" srcId="{8F83ED52-724F-46CC-8A8F-EB807BF2E187}" destId="{37CBA6EA-1991-4BA5-A62D-71BCAF78CAD4}" srcOrd="1" destOrd="0" parTransId="{FA4C2B1A-65A2-4D81-B200-A69E588F5BBD}" sibTransId="{2F75D36A-E1DB-4C27-A063-A71F98C097C0}"/>
    <dgm:cxn modelId="{5E889C84-F016-469A-A967-C394340079D3}" srcId="{8F83ED52-724F-46CC-8A8F-EB807BF2E187}" destId="{8CCCB363-961B-4AAF-BCCD-0065B9B09D7E}" srcOrd="2" destOrd="0" parTransId="{38118B87-BC8B-4A09-8927-0A3F62D576E4}" sibTransId="{4471A24E-B103-4EAF-B4B3-8FDD364C9B8C}"/>
    <dgm:cxn modelId="{3D821D92-01C6-478E-BEA2-F1ACBB887CEF}" type="presParOf" srcId="{92425EB7-3E1B-4CED-BD67-097C839F8093}" destId="{B7451672-F50A-4B2E-8DC8-3A79A1E6F051}" srcOrd="0" destOrd="0" presId="urn:microsoft.com/office/officeart/2005/8/layout/hProcess9"/>
    <dgm:cxn modelId="{4FF8118F-A158-4050-BC17-1DC9B5D619EA}" type="presParOf" srcId="{92425EB7-3E1B-4CED-BD67-097C839F8093}" destId="{06EC824E-4CEF-452A-B10A-644C4AEB14D5}" srcOrd="1" destOrd="0" presId="urn:microsoft.com/office/officeart/2005/8/layout/hProcess9"/>
    <dgm:cxn modelId="{4DD6EFD7-68F8-4D60-8515-2E5463A7D90D}" type="presParOf" srcId="{06EC824E-4CEF-452A-B10A-644C4AEB14D5}" destId="{A8ECCDD8-F929-4010-AF0F-01A5D222A4A3}" srcOrd="0" destOrd="0" presId="urn:microsoft.com/office/officeart/2005/8/layout/hProcess9"/>
    <dgm:cxn modelId="{31AE47AE-D519-4BFD-83A8-1D49211A7412}" type="presParOf" srcId="{06EC824E-4CEF-452A-B10A-644C4AEB14D5}" destId="{FE3B2519-C6A9-42D2-96EA-03A314684B36}" srcOrd="1" destOrd="0" presId="urn:microsoft.com/office/officeart/2005/8/layout/hProcess9"/>
    <dgm:cxn modelId="{0FD0C07B-9028-4523-845B-00B0D6019CFF}" type="presParOf" srcId="{06EC824E-4CEF-452A-B10A-644C4AEB14D5}" destId="{F10D8815-C8AB-4392-915C-4A77B4602894}" srcOrd="2" destOrd="0" presId="urn:microsoft.com/office/officeart/2005/8/layout/hProcess9"/>
    <dgm:cxn modelId="{6BB5A909-0679-4DCA-8300-80854992E416}" type="presParOf" srcId="{06EC824E-4CEF-452A-B10A-644C4AEB14D5}" destId="{906F73AC-8D1F-4CE1-88B9-6C1122D036B1}" srcOrd="3" destOrd="0" presId="urn:microsoft.com/office/officeart/2005/8/layout/hProcess9"/>
    <dgm:cxn modelId="{473D3366-80B8-4CEC-B08D-A525C82F8895}" type="presParOf" srcId="{06EC824E-4CEF-452A-B10A-644C4AEB14D5}" destId="{0A86792E-2A2F-4EAD-9584-2FAEB59330DB}" srcOrd="4" destOrd="0" presId="urn:microsoft.com/office/officeart/2005/8/layout/hProcess9"/>
    <dgm:cxn modelId="{75FA545C-F33C-47C0-B2A5-765E70EA91D5}" type="presParOf" srcId="{06EC824E-4CEF-452A-B10A-644C4AEB14D5}" destId="{E85A9881-B535-4973-A2E7-544DEC368DDE}" srcOrd="5" destOrd="0" presId="urn:microsoft.com/office/officeart/2005/8/layout/hProcess9"/>
    <dgm:cxn modelId="{E147AC9D-7298-4D53-871C-71F7A007C66C}" type="presParOf" srcId="{06EC824E-4CEF-452A-B10A-644C4AEB14D5}" destId="{547A4E75-92EA-4B43-B6EE-61FF6E6AED82}" srcOrd="6" destOrd="0" presId="urn:microsoft.com/office/officeart/2005/8/layout/hProcess9"/>
    <dgm:cxn modelId="{CA106D03-388D-4189-9E02-5039369F699F}" type="presParOf" srcId="{06EC824E-4CEF-452A-B10A-644C4AEB14D5}" destId="{9B75F681-4A67-44C6-9564-B44A7C153591}" srcOrd="7" destOrd="0" presId="urn:microsoft.com/office/officeart/2005/8/layout/hProcess9"/>
    <dgm:cxn modelId="{7F5CB410-B7A0-4BF0-AF2A-88E04F2B80B0}" type="presParOf" srcId="{06EC824E-4CEF-452A-B10A-644C4AEB14D5}" destId="{4A7E0BC8-0022-43C8-BAE2-9518BDF2D6C1}" srcOrd="8" destOrd="0" presId="urn:microsoft.com/office/officeart/2005/8/layout/hProcess9"/>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962067-BE18-40EF-8639-34EA12C84FB5}">
      <dsp:nvSpPr>
        <dsp:cNvPr id="0" name=""/>
        <dsp:cNvSpPr/>
      </dsp:nvSpPr>
      <dsp:spPr>
        <a:xfrm>
          <a:off x="669" y="1488125"/>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$10,000 Investment</a:t>
          </a:r>
        </a:p>
      </dsp:txBody>
      <dsp:txXfrm>
        <a:off x="16116" y="1503572"/>
        <a:ext cx="1023925" cy="496515"/>
      </dsp:txXfrm>
    </dsp:sp>
    <dsp:sp modelId="{FAA122F2-BB59-4A74-9F2D-14590D9C16C9}">
      <dsp:nvSpPr>
        <dsp:cNvPr id="0" name=""/>
        <dsp:cNvSpPr/>
      </dsp:nvSpPr>
      <dsp:spPr>
        <a:xfrm rot="18770822">
          <a:off x="956231" y="1509553"/>
          <a:ext cx="620442" cy="29663"/>
        </a:xfrm>
        <a:custGeom>
          <a:avLst/>
          <a:gdLst/>
          <a:ahLst/>
          <a:cxnLst/>
          <a:rect l="0" t="0" r="0" b="0"/>
          <a:pathLst>
            <a:path>
              <a:moveTo>
                <a:pt x="0" y="14831"/>
              </a:moveTo>
              <a:lnTo>
                <a:pt x="620442" y="1483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1250941" y="1508873"/>
        <a:ext cx="31022" cy="31022"/>
      </dsp:txXfrm>
    </dsp:sp>
    <dsp:sp modelId="{75C5B2B0-3EDC-46D4-99BD-C94851347066}">
      <dsp:nvSpPr>
        <dsp:cNvPr id="0" name=""/>
        <dsp:cNvSpPr/>
      </dsp:nvSpPr>
      <dsp:spPr>
        <a:xfrm>
          <a:off x="1477416" y="1033234"/>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Buy shares of X Ltd </a:t>
          </a:r>
        </a:p>
      </dsp:txBody>
      <dsp:txXfrm>
        <a:off x="1492863" y="1048681"/>
        <a:ext cx="1023925" cy="496515"/>
      </dsp:txXfrm>
    </dsp:sp>
    <dsp:sp modelId="{25EF682F-B716-40BB-A7CC-A9FC8D13C756}">
      <dsp:nvSpPr>
        <dsp:cNvPr id="0" name=""/>
        <dsp:cNvSpPr/>
      </dsp:nvSpPr>
      <dsp:spPr>
        <a:xfrm rot="19457599">
          <a:off x="2483397" y="1130477"/>
          <a:ext cx="519605" cy="29663"/>
        </a:xfrm>
        <a:custGeom>
          <a:avLst/>
          <a:gdLst/>
          <a:ahLst/>
          <a:cxnLst/>
          <a:rect l="0" t="0" r="0" b="0"/>
          <a:pathLst>
            <a:path>
              <a:moveTo>
                <a:pt x="0" y="14831"/>
              </a:moveTo>
              <a:lnTo>
                <a:pt x="519605" y="148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730209" y="1132319"/>
        <a:ext cx="25980" cy="25980"/>
      </dsp:txXfrm>
    </dsp:sp>
    <dsp:sp modelId="{16EF2005-2D47-4DAB-9DD5-2F8B3E59612C}">
      <dsp:nvSpPr>
        <dsp:cNvPr id="0" name=""/>
        <dsp:cNvSpPr/>
      </dsp:nvSpPr>
      <dsp:spPr>
        <a:xfrm>
          <a:off x="2954163" y="729974"/>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State 1: future performance high </a:t>
          </a:r>
          <a:r>
            <a:rPr lang="en-CA" sz="1000" kern="1200">
              <a:solidFill>
                <a:srgbClr val="FF0000"/>
              </a:solidFill>
            </a:rPr>
            <a:t>(30%)</a:t>
          </a:r>
        </a:p>
      </dsp:txBody>
      <dsp:txXfrm>
        <a:off x="2969610" y="745421"/>
        <a:ext cx="1023925" cy="496515"/>
      </dsp:txXfrm>
    </dsp:sp>
    <dsp:sp modelId="{CC2742F7-1E56-44AD-BDEE-094164213120}">
      <dsp:nvSpPr>
        <dsp:cNvPr id="0" name=""/>
        <dsp:cNvSpPr/>
      </dsp:nvSpPr>
      <dsp:spPr>
        <a:xfrm>
          <a:off x="4008983" y="978847"/>
          <a:ext cx="421927" cy="29663"/>
        </a:xfrm>
        <a:custGeom>
          <a:avLst/>
          <a:gdLst/>
          <a:ahLst/>
          <a:cxnLst/>
          <a:rect l="0" t="0" r="0" b="0"/>
          <a:pathLst>
            <a:path>
              <a:moveTo>
                <a:pt x="0" y="14831"/>
              </a:moveTo>
              <a:lnTo>
                <a:pt x="421927" y="148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4209398" y="983130"/>
        <a:ext cx="21096" cy="21096"/>
      </dsp:txXfrm>
    </dsp:sp>
    <dsp:sp modelId="{464E5044-8B95-479A-A387-13A7B431C4E2}">
      <dsp:nvSpPr>
        <dsp:cNvPr id="0" name=""/>
        <dsp:cNvSpPr/>
      </dsp:nvSpPr>
      <dsp:spPr>
        <a:xfrm>
          <a:off x="4430910" y="729974"/>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Net Return = $1600</a:t>
          </a:r>
        </a:p>
      </dsp:txBody>
      <dsp:txXfrm>
        <a:off x="4446357" y="745421"/>
        <a:ext cx="1023925" cy="496515"/>
      </dsp:txXfrm>
    </dsp:sp>
    <dsp:sp modelId="{7D9D2305-DCDC-4BAD-8233-6E3640AF2F7F}">
      <dsp:nvSpPr>
        <dsp:cNvPr id="0" name=""/>
        <dsp:cNvSpPr/>
      </dsp:nvSpPr>
      <dsp:spPr>
        <a:xfrm rot="2142401">
          <a:off x="2483397" y="1433738"/>
          <a:ext cx="519605" cy="29663"/>
        </a:xfrm>
        <a:custGeom>
          <a:avLst/>
          <a:gdLst/>
          <a:ahLst/>
          <a:cxnLst/>
          <a:rect l="0" t="0" r="0" b="0"/>
          <a:pathLst>
            <a:path>
              <a:moveTo>
                <a:pt x="0" y="14831"/>
              </a:moveTo>
              <a:lnTo>
                <a:pt x="519605" y="148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730209" y="1435579"/>
        <a:ext cx="25980" cy="25980"/>
      </dsp:txXfrm>
    </dsp:sp>
    <dsp:sp modelId="{56B58940-A6A8-4D81-8FA8-2CFDFEC1E4A4}">
      <dsp:nvSpPr>
        <dsp:cNvPr id="0" name=""/>
        <dsp:cNvSpPr/>
      </dsp:nvSpPr>
      <dsp:spPr>
        <a:xfrm>
          <a:off x="2954163" y="1336495"/>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State 2: future performance low </a:t>
          </a:r>
          <a:r>
            <a:rPr lang="en-CA" sz="1000" kern="1200">
              <a:solidFill>
                <a:srgbClr val="FF0000"/>
              </a:solidFill>
            </a:rPr>
            <a:t>(70%)</a:t>
          </a:r>
        </a:p>
      </dsp:txBody>
      <dsp:txXfrm>
        <a:off x="2969610" y="1351942"/>
        <a:ext cx="1023925" cy="496515"/>
      </dsp:txXfrm>
    </dsp:sp>
    <dsp:sp modelId="{25A129D9-19DA-445C-B97B-5BEFBCCAFAD1}">
      <dsp:nvSpPr>
        <dsp:cNvPr id="0" name=""/>
        <dsp:cNvSpPr/>
      </dsp:nvSpPr>
      <dsp:spPr>
        <a:xfrm>
          <a:off x="4008983" y="1585368"/>
          <a:ext cx="421927" cy="29663"/>
        </a:xfrm>
        <a:custGeom>
          <a:avLst/>
          <a:gdLst/>
          <a:ahLst/>
          <a:cxnLst/>
          <a:rect l="0" t="0" r="0" b="0"/>
          <a:pathLst>
            <a:path>
              <a:moveTo>
                <a:pt x="0" y="14831"/>
              </a:moveTo>
              <a:lnTo>
                <a:pt x="421927" y="148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4209398" y="1589651"/>
        <a:ext cx="21096" cy="21096"/>
      </dsp:txXfrm>
    </dsp:sp>
    <dsp:sp modelId="{20CAE6A4-E074-4ADF-891C-D4106F561D65}">
      <dsp:nvSpPr>
        <dsp:cNvPr id="0" name=""/>
        <dsp:cNvSpPr/>
      </dsp:nvSpPr>
      <dsp:spPr>
        <a:xfrm>
          <a:off x="4430910" y="1336495"/>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Net Return = $0</a:t>
          </a:r>
        </a:p>
      </dsp:txBody>
      <dsp:txXfrm>
        <a:off x="4446357" y="1351942"/>
        <a:ext cx="1023925" cy="496515"/>
      </dsp:txXfrm>
    </dsp:sp>
    <dsp:sp modelId="{1560600C-022A-478B-BC3E-8A9EB5EF2F3F}">
      <dsp:nvSpPr>
        <dsp:cNvPr id="0" name=""/>
        <dsp:cNvSpPr/>
      </dsp:nvSpPr>
      <dsp:spPr>
        <a:xfrm rot="2829178">
          <a:off x="956231" y="1964444"/>
          <a:ext cx="620442" cy="29663"/>
        </a:xfrm>
        <a:custGeom>
          <a:avLst/>
          <a:gdLst/>
          <a:ahLst/>
          <a:cxnLst/>
          <a:rect l="0" t="0" r="0" b="0"/>
          <a:pathLst>
            <a:path>
              <a:moveTo>
                <a:pt x="0" y="14831"/>
              </a:moveTo>
              <a:lnTo>
                <a:pt x="620442" y="1483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1250941" y="1963764"/>
        <a:ext cx="31022" cy="31022"/>
      </dsp:txXfrm>
    </dsp:sp>
    <dsp:sp modelId="{798B6D0F-8EF4-4EF5-94F0-F09F91E3B3FE}">
      <dsp:nvSpPr>
        <dsp:cNvPr id="0" name=""/>
        <dsp:cNvSpPr/>
      </dsp:nvSpPr>
      <dsp:spPr>
        <a:xfrm>
          <a:off x="1477416" y="1943016"/>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Buy government bonds</a:t>
          </a:r>
        </a:p>
      </dsp:txBody>
      <dsp:txXfrm>
        <a:off x="1492863" y="1958463"/>
        <a:ext cx="1023925" cy="496515"/>
      </dsp:txXfrm>
    </dsp:sp>
    <dsp:sp modelId="{C053548F-8C3A-4BC4-89B5-2C495BBB9F84}">
      <dsp:nvSpPr>
        <dsp:cNvPr id="0" name=""/>
        <dsp:cNvSpPr/>
      </dsp:nvSpPr>
      <dsp:spPr>
        <a:xfrm>
          <a:off x="2532236" y="2191889"/>
          <a:ext cx="421927" cy="29663"/>
        </a:xfrm>
        <a:custGeom>
          <a:avLst/>
          <a:gdLst/>
          <a:ahLst/>
          <a:cxnLst/>
          <a:rect l="0" t="0" r="0" b="0"/>
          <a:pathLst>
            <a:path>
              <a:moveTo>
                <a:pt x="0" y="14831"/>
              </a:moveTo>
              <a:lnTo>
                <a:pt x="421927" y="148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2732651" y="2196172"/>
        <a:ext cx="21096" cy="21096"/>
      </dsp:txXfrm>
    </dsp:sp>
    <dsp:sp modelId="{E74A71E9-03A5-4A4C-A75E-12CD4CF9BFA0}">
      <dsp:nvSpPr>
        <dsp:cNvPr id="0" name=""/>
        <dsp:cNvSpPr/>
      </dsp:nvSpPr>
      <dsp:spPr>
        <a:xfrm>
          <a:off x="2954163" y="1943016"/>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No change in state of nature; riskless investment</a:t>
          </a:r>
        </a:p>
      </dsp:txBody>
      <dsp:txXfrm>
        <a:off x="2969610" y="1958463"/>
        <a:ext cx="1023925" cy="496515"/>
      </dsp:txXfrm>
    </dsp:sp>
    <dsp:sp modelId="{017C10B6-9592-48E4-A2A4-DEBDB41769B9}">
      <dsp:nvSpPr>
        <dsp:cNvPr id="0" name=""/>
        <dsp:cNvSpPr/>
      </dsp:nvSpPr>
      <dsp:spPr>
        <a:xfrm>
          <a:off x="4008983" y="2191889"/>
          <a:ext cx="421927" cy="29663"/>
        </a:xfrm>
        <a:custGeom>
          <a:avLst/>
          <a:gdLst/>
          <a:ahLst/>
          <a:cxnLst/>
          <a:rect l="0" t="0" r="0" b="0"/>
          <a:pathLst>
            <a:path>
              <a:moveTo>
                <a:pt x="0" y="14831"/>
              </a:moveTo>
              <a:lnTo>
                <a:pt x="421927" y="148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4209398" y="2196172"/>
        <a:ext cx="21096" cy="21096"/>
      </dsp:txXfrm>
    </dsp:sp>
    <dsp:sp modelId="{2038F894-D20B-4BC0-A684-7DDCE4E7C020}">
      <dsp:nvSpPr>
        <dsp:cNvPr id="0" name=""/>
        <dsp:cNvSpPr/>
      </dsp:nvSpPr>
      <dsp:spPr>
        <a:xfrm>
          <a:off x="4430910" y="1943016"/>
          <a:ext cx="1054819" cy="5274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a:t>Net Return = $225</a:t>
          </a:r>
        </a:p>
      </dsp:txBody>
      <dsp:txXfrm>
        <a:off x="4446357" y="1958463"/>
        <a:ext cx="1023925" cy="4965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BAF1CB-EBB8-47E4-AE93-C6959D4274C5}">
      <dsp:nvSpPr>
        <dsp:cNvPr id="0" name=""/>
        <dsp:cNvSpPr/>
      </dsp:nvSpPr>
      <dsp:spPr>
        <a:xfrm>
          <a:off x="765105" y="-17340"/>
          <a:ext cx="1955939" cy="1955939"/>
        </a:xfrm>
        <a:prstGeom prst="circularArrow">
          <a:avLst>
            <a:gd name="adj1" fmla="val 4668"/>
            <a:gd name="adj2" fmla="val 272909"/>
            <a:gd name="adj3" fmla="val 13270276"/>
            <a:gd name="adj4" fmla="val 17739242"/>
            <a:gd name="adj5" fmla="val 4847"/>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DE6C768-EDE9-484F-8A50-8F3AFAA2DE61}">
      <dsp:nvSpPr>
        <dsp:cNvPr id="0" name=""/>
        <dsp:cNvSpPr/>
      </dsp:nvSpPr>
      <dsp:spPr>
        <a:xfrm>
          <a:off x="1167724" y="612"/>
          <a:ext cx="1150701" cy="57535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1. Share Price is Fully Informative</a:t>
          </a:r>
        </a:p>
      </dsp:txBody>
      <dsp:txXfrm>
        <a:off x="1195810" y="28698"/>
        <a:ext cx="1094529" cy="519178"/>
      </dsp:txXfrm>
    </dsp:sp>
    <dsp:sp modelId="{57869B12-610A-44D4-AFC4-2BCFF9C1E75C}">
      <dsp:nvSpPr>
        <dsp:cNvPr id="0" name=""/>
        <dsp:cNvSpPr/>
      </dsp:nvSpPr>
      <dsp:spPr>
        <a:xfrm>
          <a:off x="1870036" y="702924"/>
          <a:ext cx="1150701" cy="57535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2. Investors  stop gathering information</a:t>
          </a:r>
        </a:p>
      </dsp:txBody>
      <dsp:txXfrm>
        <a:off x="1898122" y="731010"/>
        <a:ext cx="1094529" cy="519178"/>
      </dsp:txXfrm>
    </dsp:sp>
    <dsp:sp modelId="{A2E1905F-CBB1-4588-9CA7-95BF0D4175CF}">
      <dsp:nvSpPr>
        <dsp:cNvPr id="0" name=""/>
        <dsp:cNvSpPr/>
      </dsp:nvSpPr>
      <dsp:spPr>
        <a:xfrm>
          <a:off x="1167724" y="1405236"/>
          <a:ext cx="1150701" cy="57535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3. Fully informative share prices collapse; do not reflect all available information</a:t>
          </a:r>
        </a:p>
      </dsp:txBody>
      <dsp:txXfrm>
        <a:off x="1195810" y="1433322"/>
        <a:ext cx="1094529" cy="519178"/>
      </dsp:txXfrm>
    </dsp:sp>
    <dsp:sp modelId="{23633316-953F-47B0-91F7-3D8B14472823}">
      <dsp:nvSpPr>
        <dsp:cNvPr id="0" name=""/>
        <dsp:cNvSpPr/>
      </dsp:nvSpPr>
      <dsp:spPr>
        <a:xfrm>
          <a:off x="465411" y="702924"/>
          <a:ext cx="1150701" cy="57535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4. Investors realize it is worthwhile to gather information </a:t>
          </a:r>
        </a:p>
      </dsp:txBody>
      <dsp:txXfrm>
        <a:off x="493497" y="731010"/>
        <a:ext cx="1094529" cy="5191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69E0F4-66ED-42AA-989F-CD15B681326A}">
      <dsp:nvSpPr>
        <dsp:cNvPr id="0" name=""/>
        <dsp:cNvSpPr/>
      </dsp:nvSpPr>
      <dsp:spPr>
        <a:xfrm rot="5400000">
          <a:off x="-161999" y="165051"/>
          <a:ext cx="1079994" cy="755996"/>
        </a:xfrm>
        <a:prstGeom prst="chevron">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endParaRPr lang="en-CA" sz="900" kern="1200"/>
        </a:p>
        <a:p>
          <a:pPr lvl="0" algn="ctr" defTabSz="400050">
            <a:lnSpc>
              <a:spcPct val="90000"/>
            </a:lnSpc>
            <a:spcBef>
              <a:spcPct val="0"/>
            </a:spcBef>
            <a:spcAft>
              <a:spcPct val="35000"/>
            </a:spcAft>
          </a:pPr>
          <a:r>
            <a:rPr lang="en-CA" sz="900" kern="1200"/>
            <a:t>1. Investor engages in buy/sell decision</a:t>
          </a:r>
        </a:p>
      </dsp:txBody>
      <dsp:txXfrm rot="-5400000">
        <a:off x="0" y="381050"/>
        <a:ext cx="755996" cy="323998"/>
      </dsp:txXfrm>
    </dsp:sp>
    <dsp:sp modelId="{A24B5D23-F719-458C-AA03-34CD6C46CE6C}">
      <dsp:nvSpPr>
        <dsp:cNvPr id="0" name=""/>
        <dsp:cNvSpPr/>
      </dsp:nvSpPr>
      <dsp:spPr>
        <a:xfrm rot="5400000">
          <a:off x="3193877" y="-2434828"/>
          <a:ext cx="702365" cy="5578128"/>
        </a:xfrm>
        <a:prstGeom prst="round2Same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CA" sz="1200" kern="1200"/>
            <a:t>considers the informativeness of price</a:t>
          </a:r>
        </a:p>
        <a:p>
          <a:pPr marL="114300" lvl="1" indent="-114300" algn="l" defTabSz="533400">
            <a:lnSpc>
              <a:spcPct val="90000"/>
            </a:lnSpc>
            <a:spcBef>
              <a:spcPct val="0"/>
            </a:spcBef>
            <a:spcAft>
              <a:spcPct val="15000"/>
            </a:spcAft>
            <a:buChar char="••"/>
          </a:pPr>
          <a:r>
            <a:rPr lang="en-CA" sz="1200" kern="1200"/>
            <a:t>considers if price is due to noise trading</a:t>
          </a:r>
        </a:p>
      </dsp:txBody>
      <dsp:txXfrm rot="-5400000">
        <a:off x="755996" y="37340"/>
        <a:ext cx="5543841" cy="633791"/>
      </dsp:txXfrm>
    </dsp:sp>
    <dsp:sp modelId="{263C7D5D-10A2-414D-9C89-484A7B86108F}">
      <dsp:nvSpPr>
        <dsp:cNvPr id="0" name=""/>
        <dsp:cNvSpPr/>
      </dsp:nvSpPr>
      <dsp:spPr>
        <a:xfrm rot="5400000">
          <a:off x="-161999" y="1041226"/>
          <a:ext cx="1079994" cy="755996"/>
        </a:xfrm>
        <a:prstGeom prst="chevron">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endParaRPr lang="en-CA" sz="900" kern="1200"/>
        </a:p>
        <a:p>
          <a:pPr lvl="0" algn="ctr" defTabSz="400050">
            <a:lnSpc>
              <a:spcPct val="90000"/>
            </a:lnSpc>
            <a:spcBef>
              <a:spcPct val="0"/>
            </a:spcBef>
            <a:spcAft>
              <a:spcPct val="35000"/>
            </a:spcAft>
          </a:pPr>
          <a:r>
            <a:rPr lang="en-CA" sz="900" kern="1200"/>
            <a:t>2. Investor gathers additional info</a:t>
          </a:r>
          <a:br>
            <a:rPr lang="en-CA" sz="900" kern="1200"/>
          </a:br>
          <a:r>
            <a:rPr lang="en-CA" sz="900" kern="1200"/>
            <a:t> </a:t>
          </a:r>
        </a:p>
      </dsp:txBody>
      <dsp:txXfrm rot="-5400000">
        <a:off x="0" y="1257225"/>
        <a:ext cx="755996" cy="323998"/>
      </dsp:txXfrm>
    </dsp:sp>
    <dsp:sp modelId="{8B920FBD-15BC-4299-9FC1-F1CF0645024B}">
      <dsp:nvSpPr>
        <dsp:cNvPr id="0" name=""/>
        <dsp:cNvSpPr/>
      </dsp:nvSpPr>
      <dsp:spPr>
        <a:xfrm rot="5400000">
          <a:off x="3194062" y="-1558838"/>
          <a:ext cx="701996" cy="5578128"/>
        </a:xfrm>
        <a:prstGeom prst="round2Same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CA" sz="1200" kern="1200"/>
            <a:t>considers the cost of acquiring new info</a:t>
          </a:r>
        </a:p>
        <a:p>
          <a:pPr marL="114300" lvl="1" indent="-114300" algn="l" defTabSz="533400">
            <a:lnSpc>
              <a:spcPct val="90000"/>
            </a:lnSpc>
            <a:spcBef>
              <a:spcPct val="0"/>
            </a:spcBef>
            <a:spcAft>
              <a:spcPct val="15000"/>
            </a:spcAft>
            <a:buChar char="••"/>
          </a:pPr>
          <a:r>
            <a:rPr lang="en-CA" sz="1200" kern="1200"/>
            <a:t>considers quality of financial statement information</a:t>
          </a:r>
        </a:p>
      </dsp:txBody>
      <dsp:txXfrm rot="-5400000">
        <a:off x="755997" y="913496"/>
        <a:ext cx="5543859" cy="633458"/>
      </dsp:txXfrm>
    </dsp:sp>
    <dsp:sp modelId="{571B3453-A025-4F2A-A91F-33DF5CE23910}">
      <dsp:nvSpPr>
        <dsp:cNvPr id="0" name=""/>
        <dsp:cNvSpPr/>
      </dsp:nvSpPr>
      <dsp:spPr>
        <a:xfrm rot="5400000">
          <a:off x="-161999" y="1920454"/>
          <a:ext cx="1079994" cy="755996"/>
        </a:xfrm>
        <a:prstGeom prst="chevron">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endParaRPr lang="en-CA" sz="900" kern="1200"/>
        </a:p>
        <a:p>
          <a:pPr lvl="0" algn="ctr" defTabSz="400050">
            <a:lnSpc>
              <a:spcPct val="90000"/>
            </a:lnSpc>
            <a:spcBef>
              <a:spcPct val="0"/>
            </a:spcBef>
            <a:spcAft>
              <a:spcPct val="35000"/>
            </a:spcAft>
          </a:pPr>
          <a:r>
            <a:rPr lang="en-CA" sz="900" kern="1200"/>
            <a:t>3. Share prices Partially Informative</a:t>
          </a:r>
        </a:p>
      </dsp:txBody>
      <dsp:txXfrm rot="-5400000">
        <a:off x="0" y="2136453"/>
        <a:ext cx="755996" cy="323998"/>
      </dsp:txXfrm>
    </dsp:sp>
    <dsp:sp modelId="{035E7931-1354-4EF6-8ABE-266F8707746D}">
      <dsp:nvSpPr>
        <dsp:cNvPr id="0" name=""/>
        <dsp:cNvSpPr/>
      </dsp:nvSpPr>
      <dsp:spPr>
        <a:xfrm rot="5400000">
          <a:off x="3194062" y="-682663"/>
          <a:ext cx="701996" cy="5578128"/>
        </a:xfrm>
        <a:prstGeom prst="round2Same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CA" sz="1200" kern="1200"/>
            <a:t>Partially informative because it required investors' analysis of all available information to determine true price informativeness in the presence of noise trading</a:t>
          </a:r>
        </a:p>
        <a:p>
          <a:pPr marL="114300" lvl="1" indent="-114300" algn="l" defTabSz="533400">
            <a:lnSpc>
              <a:spcPct val="90000"/>
            </a:lnSpc>
            <a:spcBef>
              <a:spcPct val="0"/>
            </a:spcBef>
            <a:spcAft>
              <a:spcPct val="15000"/>
            </a:spcAft>
            <a:buChar char="••"/>
          </a:pPr>
          <a:r>
            <a:rPr lang="en-CA" sz="1200" kern="1200"/>
            <a:t>Investor makes decision based on share price and new information and acts</a:t>
          </a:r>
        </a:p>
      </dsp:txBody>
      <dsp:txXfrm rot="-5400000">
        <a:off x="755997" y="1789671"/>
        <a:ext cx="5543859" cy="63345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F4CF52-F6AD-4823-B399-86CC36C0FC23}">
      <dsp:nvSpPr>
        <dsp:cNvPr id="0" name=""/>
        <dsp:cNvSpPr/>
      </dsp:nvSpPr>
      <dsp:spPr>
        <a:xfrm>
          <a:off x="1191073" y="353"/>
          <a:ext cx="1075427" cy="1075427"/>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t>Purchase of shares by overconfident and self-attribution biased investors</a:t>
          </a:r>
        </a:p>
      </dsp:txBody>
      <dsp:txXfrm>
        <a:off x="1348566" y="157846"/>
        <a:ext cx="760441" cy="760441"/>
      </dsp:txXfrm>
    </dsp:sp>
    <dsp:sp modelId="{2CEDD27C-6727-4644-B1D2-5C324B7686FD}">
      <dsp:nvSpPr>
        <dsp:cNvPr id="0" name=""/>
        <dsp:cNvSpPr/>
      </dsp:nvSpPr>
      <dsp:spPr>
        <a:xfrm rot="3600000">
          <a:off x="1985458" y="1049736"/>
          <a:ext cx="287035" cy="362956"/>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CA" sz="600" kern="1200"/>
        </a:p>
      </dsp:txBody>
      <dsp:txXfrm>
        <a:off x="2006986" y="1085040"/>
        <a:ext cx="200925" cy="217774"/>
      </dsp:txXfrm>
    </dsp:sp>
    <dsp:sp modelId="{4612277D-7237-4ECD-B945-7B3EB8C9E476}">
      <dsp:nvSpPr>
        <dsp:cNvPr id="0" name=""/>
        <dsp:cNvSpPr/>
      </dsp:nvSpPr>
      <dsp:spPr>
        <a:xfrm>
          <a:off x="1999575" y="1400719"/>
          <a:ext cx="1075427" cy="1075427"/>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t>Rise in Share Price</a:t>
          </a:r>
        </a:p>
      </dsp:txBody>
      <dsp:txXfrm>
        <a:off x="2157068" y="1558212"/>
        <a:ext cx="760441" cy="760441"/>
      </dsp:txXfrm>
    </dsp:sp>
    <dsp:sp modelId="{10459A81-9BC5-435C-BE29-F6749677FC1D}">
      <dsp:nvSpPr>
        <dsp:cNvPr id="0" name=""/>
        <dsp:cNvSpPr/>
      </dsp:nvSpPr>
      <dsp:spPr>
        <a:xfrm rot="10800000">
          <a:off x="1593393" y="1756954"/>
          <a:ext cx="287035" cy="362956"/>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CA" sz="600" kern="1200"/>
        </a:p>
      </dsp:txBody>
      <dsp:txXfrm rot="10800000">
        <a:off x="1679503" y="1829545"/>
        <a:ext cx="200925" cy="217774"/>
      </dsp:txXfrm>
    </dsp:sp>
    <dsp:sp modelId="{6595CB4A-7CB4-466B-9D3A-9BE17D9EAE0A}">
      <dsp:nvSpPr>
        <dsp:cNvPr id="0" name=""/>
        <dsp:cNvSpPr/>
      </dsp:nvSpPr>
      <dsp:spPr>
        <a:xfrm>
          <a:off x="382571" y="1400719"/>
          <a:ext cx="1075427" cy="1075427"/>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t>Investor's overconfidence reinforced</a:t>
          </a:r>
        </a:p>
      </dsp:txBody>
      <dsp:txXfrm>
        <a:off x="540064" y="1558212"/>
        <a:ext cx="760441" cy="760441"/>
      </dsp:txXfrm>
    </dsp:sp>
    <dsp:sp modelId="{95926396-29FE-4343-8446-D93E358EBA80}">
      <dsp:nvSpPr>
        <dsp:cNvPr id="0" name=""/>
        <dsp:cNvSpPr/>
      </dsp:nvSpPr>
      <dsp:spPr>
        <a:xfrm rot="18000000">
          <a:off x="1176956" y="1063806"/>
          <a:ext cx="287035" cy="362956"/>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CA" sz="600" kern="1200"/>
        </a:p>
      </dsp:txBody>
      <dsp:txXfrm>
        <a:off x="1198484" y="1173684"/>
        <a:ext cx="200925" cy="21777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451672-F50A-4B2E-8DC8-3A79A1E6F051}">
      <dsp:nvSpPr>
        <dsp:cNvPr id="0" name=""/>
        <dsp:cNvSpPr/>
      </dsp:nvSpPr>
      <dsp:spPr>
        <a:xfrm>
          <a:off x="417909" y="0"/>
          <a:ext cx="4736306" cy="1495425"/>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8ECCDD8-F929-4010-AF0F-01A5D222A4A3}">
      <dsp:nvSpPr>
        <dsp:cNvPr id="0" name=""/>
        <dsp:cNvSpPr/>
      </dsp:nvSpPr>
      <dsp:spPr>
        <a:xfrm>
          <a:off x="2448" y="448627"/>
          <a:ext cx="1070620" cy="59817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Indiviuals dislike even small losses</a:t>
          </a:r>
        </a:p>
      </dsp:txBody>
      <dsp:txXfrm>
        <a:off x="31648" y="477827"/>
        <a:ext cx="1012220" cy="539770"/>
      </dsp:txXfrm>
    </dsp:sp>
    <dsp:sp modelId="{F10D8815-C8AB-4392-915C-4A77B4602894}">
      <dsp:nvSpPr>
        <dsp:cNvPr id="0" name=""/>
        <dsp:cNvSpPr/>
      </dsp:nvSpPr>
      <dsp:spPr>
        <a:xfrm>
          <a:off x="1126600" y="448627"/>
          <a:ext cx="1070620" cy="59817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Rate of utility for a loss decreases at a higher rate than utility increases for a gain</a:t>
          </a:r>
        </a:p>
      </dsp:txBody>
      <dsp:txXfrm>
        <a:off x="1155800" y="477827"/>
        <a:ext cx="1012220" cy="539770"/>
      </dsp:txXfrm>
    </dsp:sp>
    <dsp:sp modelId="{0A86792E-2A2F-4EAD-9584-2FAEB59330DB}">
      <dsp:nvSpPr>
        <dsp:cNvPr id="0" name=""/>
        <dsp:cNvSpPr/>
      </dsp:nvSpPr>
      <dsp:spPr>
        <a:xfrm>
          <a:off x="2250752" y="448627"/>
          <a:ext cx="1070620" cy="59817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Disposition Effect</a:t>
          </a:r>
        </a:p>
      </dsp:txBody>
      <dsp:txXfrm>
        <a:off x="2279952" y="477827"/>
        <a:ext cx="1012220" cy="539770"/>
      </dsp:txXfrm>
    </dsp:sp>
    <dsp:sp modelId="{547A4E75-92EA-4B43-B6EE-61FF6E6AED82}">
      <dsp:nvSpPr>
        <dsp:cNvPr id="0" name=""/>
        <dsp:cNvSpPr/>
      </dsp:nvSpPr>
      <dsp:spPr>
        <a:xfrm>
          <a:off x="3374903" y="448627"/>
          <a:ext cx="1070620" cy="59817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Risk-Averse to gains; Risk-Takers to losses</a:t>
          </a:r>
        </a:p>
      </dsp:txBody>
      <dsp:txXfrm>
        <a:off x="3404103" y="477827"/>
        <a:ext cx="1012220" cy="539770"/>
      </dsp:txXfrm>
    </dsp:sp>
    <dsp:sp modelId="{4A7E0BC8-0022-43C8-BAE2-9518BDF2D6C1}">
      <dsp:nvSpPr>
        <dsp:cNvPr id="0" name=""/>
        <dsp:cNvSpPr/>
      </dsp:nvSpPr>
      <dsp:spPr>
        <a:xfrm>
          <a:off x="4499055" y="448627"/>
          <a:ext cx="1070620" cy="59817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Investors hold on to losers and sellswinners</a:t>
          </a:r>
        </a:p>
      </dsp:txBody>
      <dsp:txXfrm>
        <a:off x="4528255" y="477827"/>
        <a:ext cx="1012220" cy="53977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6789</TotalTime>
  <Pages>43</Pages>
  <Words>13862</Words>
  <Characters>79020</Characters>
  <Application>Microsoft Macintosh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92697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Ryerson University</dc:creator>
  <cp:lastModifiedBy>Roderick Stife</cp:lastModifiedBy>
  <cp:revision>36</cp:revision>
  <dcterms:created xsi:type="dcterms:W3CDTF">2012-10-09T22:59:00Z</dcterms:created>
  <dcterms:modified xsi:type="dcterms:W3CDTF">2013-06-24T22:30:00Z</dcterms:modified>
</cp:coreProperties>
</file>