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17BCFE" w14:textId="6F409E55" w:rsidR="003D4BD1" w:rsidRPr="00B03B2C" w:rsidRDefault="003D4BD1" w:rsidP="00654DB3">
      <w:pPr>
        <w:spacing w:line="480" w:lineRule="auto"/>
        <w:rPr>
          <w:rFonts w:ascii="Times New Roman" w:hAnsi="Times New Roman" w:cs="Times New Roman"/>
          <w:b/>
          <w:i/>
        </w:rPr>
      </w:pPr>
      <w:r w:rsidRPr="00B03B2C">
        <w:rPr>
          <w:rFonts w:ascii="Times New Roman" w:hAnsi="Times New Roman" w:cs="Times New Roman"/>
          <w:b/>
          <w:i/>
        </w:rPr>
        <w:t xml:space="preserve">Childs v. Desormeaux </w:t>
      </w:r>
    </w:p>
    <w:p w14:paraId="337E0989" w14:textId="28E6EA05" w:rsidR="003D4BD1" w:rsidRDefault="003D4BD1" w:rsidP="00654DB3">
      <w:pPr>
        <w:spacing w:line="480" w:lineRule="auto"/>
        <w:ind w:firstLine="720"/>
        <w:rPr>
          <w:rFonts w:ascii="Times New Roman" w:hAnsi="Times New Roman" w:cs="Times New Roman"/>
        </w:rPr>
      </w:pPr>
      <w:r>
        <w:rPr>
          <w:rFonts w:ascii="Times New Roman" w:hAnsi="Times New Roman" w:cs="Times New Roman"/>
        </w:rPr>
        <w:t xml:space="preserve">The local case of Childs </w:t>
      </w:r>
      <w:r w:rsidR="004E2303">
        <w:rPr>
          <w:rFonts w:ascii="Times New Roman" w:hAnsi="Times New Roman" w:cs="Times New Roman"/>
        </w:rPr>
        <w:t>v. Desormeaux</w:t>
      </w:r>
      <w:r w:rsidR="004B7E16">
        <w:rPr>
          <w:rStyle w:val="FootnoteReference"/>
          <w:rFonts w:ascii="Times New Roman" w:hAnsi="Times New Roman" w:cs="Times New Roman"/>
        </w:rPr>
        <w:footnoteReference w:id="1"/>
      </w:r>
      <w:r w:rsidR="004E2303">
        <w:rPr>
          <w:rFonts w:ascii="Times New Roman" w:hAnsi="Times New Roman" w:cs="Times New Roman"/>
        </w:rPr>
        <w:t xml:space="preserve"> is one</w:t>
      </w:r>
      <w:r>
        <w:rPr>
          <w:rFonts w:ascii="Times New Roman" w:hAnsi="Times New Roman" w:cs="Times New Roman"/>
        </w:rPr>
        <w:t xml:space="preserve"> regarding social host liabi</w:t>
      </w:r>
      <w:r w:rsidR="004E2303">
        <w:rPr>
          <w:rFonts w:ascii="Times New Roman" w:hAnsi="Times New Roman" w:cs="Times New Roman"/>
        </w:rPr>
        <w:t>lity. Mr. Desormeaux</w:t>
      </w:r>
      <w:r>
        <w:rPr>
          <w:rFonts w:ascii="Times New Roman" w:hAnsi="Times New Roman" w:cs="Times New Roman"/>
        </w:rPr>
        <w:t xml:space="preserve"> attended a ‘bring your own booze’ New Years Eve party. He had a history of driving under the influence that the hosts were well aware of. Before Mr. Des</w:t>
      </w:r>
      <w:r w:rsidR="0072683C">
        <w:rPr>
          <w:rFonts w:ascii="Times New Roman" w:hAnsi="Times New Roman" w:cs="Times New Roman"/>
        </w:rPr>
        <w:t xml:space="preserve">ormeaux left the party with </w:t>
      </w:r>
      <w:r>
        <w:rPr>
          <w:rFonts w:ascii="Times New Roman" w:hAnsi="Times New Roman" w:cs="Times New Roman"/>
        </w:rPr>
        <w:t xml:space="preserve">two passengers in his car he was </w:t>
      </w:r>
      <w:r w:rsidR="0072683C">
        <w:rPr>
          <w:rFonts w:ascii="Times New Roman" w:hAnsi="Times New Roman" w:cs="Times New Roman"/>
        </w:rPr>
        <w:t>asked by Mr. Courrier</w:t>
      </w:r>
      <w:r>
        <w:rPr>
          <w:rFonts w:ascii="Times New Roman" w:hAnsi="Times New Roman" w:cs="Times New Roman"/>
        </w:rPr>
        <w:t xml:space="preserve"> if he was </w:t>
      </w:r>
      <w:r w:rsidR="0038002A">
        <w:rPr>
          <w:rFonts w:ascii="Times New Roman" w:hAnsi="Times New Roman" w:cs="Times New Roman"/>
        </w:rPr>
        <w:t>okay to drive, he confirmed</w:t>
      </w:r>
      <w:r>
        <w:rPr>
          <w:rFonts w:ascii="Times New Roman" w:hAnsi="Times New Roman" w:cs="Times New Roman"/>
        </w:rPr>
        <w:t xml:space="preserve"> he was. On his way home Mr. Desormeaux was involved in a car accident that killed a passenger and left 3 seriously injured, </w:t>
      </w:r>
      <w:r w:rsidR="00542F2A">
        <w:rPr>
          <w:rFonts w:ascii="Times New Roman" w:hAnsi="Times New Roman" w:cs="Times New Roman"/>
        </w:rPr>
        <w:t>including Zoe Childs</w:t>
      </w:r>
      <w:r>
        <w:rPr>
          <w:rFonts w:ascii="Times New Roman" w:hAnsi="Times New Roman" w:cs="Times New Roman"/>
        </w:rPr>
        <w:t xml:space="preserve">, who was paralyzed from the waist down. The central legal issue at hand is </w:t>
      </w:r>
      <w:r w:rsidR="00770E02">
        <w:rPr>
          <w:rFonts w:ascii="Times New Roman" w:hAnsi="Times New Roman" w:cs="Times New Roman"/>
        </w:rPr>
        <w:t>if social hosts</w:t>
      </w:r>
      <w:r>
        <w:rPr>
          <w:rFonts w:ascii="Times New Roman" w:hAnsi="Times New Roman" w:cs="Times New Roman"/>
        </w:rPr>
        <w:t xml:space="preserve"> can be held accountable for their guest</w:t>
      </w:r>
      <w:r w:rsidR="00770E02">
        <w:rPr>
          <w:rFonts w:ascii="Times New Roman" w:hAnsi="Times New Roman" w:cs="Times New Roman"/>
        </w:rPr>
        <w:t>s</w:t>
      </w:r>
      <w:r>
        <w:rPr>
          <w:rFonts w:ascii="Times New Roman" w:hAnsi="Times New Roman" w:cs="Times New Roman"/>
        </w:rPr>
        <w:t xml:space="preserve"> action</w:t>
      </w:r>
      <w:r w:rsidR="00770E02">
        <w:rPr>
          <w:rFonts w:ascii="Times New Roman" w:hAnsi="Times New Roman" w:cs="Times New Roman"/>
        </w:rPr>
        <w:t>s after they have</w:t>
      </w:r>
      <w:r>
        <w:rPr>
          <w:rFonts w:ascii="Times New Roman" w:hAnsi="Times New Roman" w:cs="Times New Roman"/>
        </w:rPr>
        <w:t xml:space="preserve"> left</w:t>
      </w:r>
      <w:r w:rsidR="00770E02">
        <w:rPr>
          <w:rFonts w:ascii="Times New Roman" w:hAnsi="Times New Roman" w:cs="Times New Roman"/>
        </w:rPr>
        <w:t xml:space="preserve"> their house intoxicated and have</w:t>
      </w:r>
      <w:r>
        <w:rPr>
          <w:rFonts w:ascii="Times New Roman" w:hAnsi="Times New Roman" w:cs="Times New Roman"/>
        </w:rPr>
        <w:t xml:space="preserve"> injured a third party. In this c</w:t>
      </w:r>
      <w:r w:rsidR="00160B65">
        <w:rPr>
          <w:rFonts w:ascii="Times New Roman" w:hAnsi="Times New Roman" w:cs="Times New Roman"/>
        </w:rPr>
        <w:t>a</w:t>
      </w:r>
      <w:r w:rsidR="00662AA0">
        <w:rPr>
          <w:rFonts w:ascii="Times New Roman" w:hAnsi="Times New Roman" w:cs="Times New Roman"/>
        </w:rPr>
        <w:t>se the trial judge believed</w:t>
      </w:r>
      <w:r w:rsidR="00160B65">
        <w:rPr>
          <w:rFonts w:ascii="Times New Roman" w:hAnsi="Times New Roman" w:cs="Times New Roman"/>
        </w:rPr>
        <w:t xml:space="preserve"> </w:t>
      </w:r>
      <w:r w:rsidR="00472479">
        <w:rPr>
          <w:rFonts w:ascii="Times New Roman" w:hAnsi="Times New Roman" w:cs="Times New Roman"/>
        </w:rPr>
        <w:t xml:space="preserve">the injuries Childs suffered should have been foreseeable by the hosts. Regardless of this </w:t>
      </w:r>
      <w:r w:rsidR="00662AA0">
        <w:rPr>
          <w:rFonts w:ascii="Times New Roman" w:hAnsi="Times New Roman" w:cs="Times New Roman"/>
        </w:rPr>
        <w:t>he</w:t>
      </w:r>
      <w:r w:rsidR="00472479">
        <w:rPr>
          <w:rFonts w:ascii="Times New Roman" w:hAnsi="Times New Roman" w:cs="Times New Roman"/>
        </w:rPr>
        <w:t xml:space="preserve"> dismissed the case because of policies. He does not believe in imposing a duty of care on social hosts towards a third party injured by the guests behavior. </w:t>
      </w:r>
      <w:r w:rsidR="000F41AC">
        <w:rPr>
          <w:rFonts w:ascii="Times New Roman" w:hAnsi="Times New Roman" w:cs="Times New Roman"/>
        </w:rPr>
        <w:t xml:space="preserve">The Court of Appeals found no relevant proximity between Childs and the hosts of the party and so it moved on to the Supreme Court. They decided that </w:t>
      </w:r>
      <w:r w:rsidR="001A6A30">
        <w:rPr>
          <w:rFonts w:ascii="Times New Roman" w:hAnsi="Times New Roman" w:cs="Times New Roman"/>
        </w:rPr>
        <w:t>there</w:t>
      </w:r>
      <w:r w:rsidR="000F41AC">
        <w:rPr>
          <w:rFonts w:ascii="Times New Roman" w:hAnsi="Times New Roman" w:cs="Times New Roman"/>
        </w:rPr>
        <w:t xml:space="preserve"> was no special relationship between Childs and the hosts, nor have the hosts enforced the risky situation (they did not serve him alcohol or know he was too drunk to drive). Therefore Mr. Courrier and his wife cannot be held liable and the Supreme Court ruled against this case. </w:t>
      </w:r>
    </w:p>
    <w:p w14:paraId="17467A5F" w14:textId="77777777" w:rsidR="005818AE" w:rsidRDefault="005818AE" w:rsidP="00654DB3">
      <w:pPr>
        <w:spacing w:line="480" w:lineRule="auto"/>
        <w:ind w:firstLine="720"/>
        <w:rPr>
          <w:rFonts w:ascii="Times New Roman" w:hAnsi="Times New Roman" w:cs="Times New Roman"/>
        </w:rPr>
      </w:pPr>
    </w:p>
    <w:p w14:paraId="4AB434D4" w14:textId="1D527989" w:rsidR="000F41AC" w:rsidRDefault="001A6A30" w:rsidP="00654DB3">
      <w:pPr>
        <w:spacing w:line="480" w:lineRule="auto"/>
        <w:rPr>
          <w:rFonts w:ascii="Times New Roman" w:hAnsi="Times New Roman" w:cs="Times New Roman"/>
          <w:b/>
          <w:i/>
        </w:rPr>
      </w:pPr>
      <w:r w:rsidRPr="00B03B2C">
        <w:rPr>
          <w:rFonts w:ascii="Times New Roman" w:hAnsi="Times New Roman" w:cs="Times New Roman"/>
          <w:b/>
          <w:i/>
        </w:rPr>
        <w:t>Commercial</w:t>
      </w:r>
      <w:r w:rsidR="00E8568D" w:rsidRPr="00B03B2C">
        <w:rPr>
          <w:rFonts w:ascii="Times New Roman" w:hAnsi="Times New Roman" w:cs="Times New Roman"/>
          <w:b/>
          <w:i/>
        </w:rPr>
        <w:t xml:space="preserve"> Host Liability</w:t>
      </w:r>
    </w:p>
    <w:p w14:paraId="4A44A499" w14:textId="15836646" w:rsidR="00B03B2C" w:rsidRDefault="00B03B2C" w:rsidP="00654DB3">
      <w:pPr>
        <w:spacing w:line="480" w:lineRule="auto"/>
        <w:rPr>
          <w:rFonts w:ascii="Times New Roman" w:hAnsi="Times New Roman" w:cs="Times New Roman"/>
        </w:rPr>
      </w:pPr>
      <w:r>
        <w:rPr>
          <w:rFonts w:ascii="Times New Roman" w:hAnsi="Times New Roman" w:cs="Times New Roman"/>
        </w:rPr>
        <w:tab/>
        <w:t>Childs v. Desormeaux was a crucial case in the torts revolving around social host liability. There are a few factors making this a unique case amongst the others. Lets take a look at a case in commercial host liability, Stewart v. Pettie.</w:t>
      </w:r>
      <w:r w:rsidR="004B7E16">
        <w:rPr>
          <w:rStyle w:val="FootnoteReference"/>
          <w:rFonts w:ascii="Times New Roman" w:hAnsi="Times New Roman" w:cs="Times New Roman"/>
        </w:rPr>
        <w:footnoteReference w:id="2"/>
      </w:r>
      <w:r>
        <w:rPr>
          <w:rFonts w:ascii="Times New Roman" w:hAnsi="Times New Roman" w:cs="Times New Roman"/>
        </w:rPr>
        <w:t xml:space="preserve"> The facts of this case are as </w:t>
      </w:r>
      <w:r>
        <w:rPr>
          <w:rFonts w:ascii="Times New Roman" w:hAnsi="Times New Roman" w:cs="Times New Roman"/>
        </w:rPr>
        <w:lastRenderedPageBreak/>
        <w:t xml:space="preserve">follows: two couples, Gillian and Keith Stewart along with Stuart and Shelley Pettie, went out to a dinner theatre. Throughout the dinner Stuart went through several rum and cokes, but showed no sign of intoxication. After leaving the theatre the group argued </w:t>
      </w:r>
      <w:r w:rsidR="003079AE">
        <w:rPr>
          <w:rFonts w:ascii="Times New Roman" w:hAnsi="Times New Roman" w:cs="Times New Roman"/>
        </w:rPr>
        <w:t>about who will drive and Stewart insisted. On the way home the car slipped and the couple were involved in a car acc</w:t>
      </w:r>
      <w:r w:rsidR="00721983">
        <w:rPr>
          <w:rFonts w:ascii="Times New Roman" w:hAnsi="Times New Roman" w:cs="Times New Roman"/>
        </w:rPr>
        <w:t>ident that left Gillian a</w:t>
      </w:r>
      <w:r w:rsidR="003079AE">
        <w:rPr>
          <w:rFonts w:ascii="Times New Roman" w:hAnsi="Times New Roman" w:cs="Times New Roman"/>
        </w:rPr>
        <w:t xml:space="preserve"> quadriplegic. Multiple people were sued but we will focus on the claim made against the dinner theatre. The issue at hand here is if the dinner theatre breeched their duty of care. The approach taken on this case, like Childs v Desormeaux</w:t>
      </w:r>
      <w:r w:rsidR="00504804">
        <w:rPr>
          <w:rStyle w:val="FootnoteReference"/>
          <w:rFonts w:ascii="Times New Roman" w:hAnsi="Times New Roman" w:cs="Times New Roman"/>
        </w:rPr>
        <w:footnoteReference w:id="3"/>
      </w:r>
      <w:r w:rsidR="003079AE">
        <w:rPr>
          <w:rFonts w:ascii="Times New Roman" w:hAnsi="Times New Roman" w:cs="Times New Roman"/>
        </w:rPr>
        <w:t>, in determining the duty of care was the Anns test.</w:t>
      </w:r>
      <w:r w:rsidR="00474FB2">
        <w:rPr>
          <w:rFonts w:ascii="Times New Roman" w:hAnsi="Times New Roman" w:cs="Times New Roman"/>
        </w:rPr>
        <w:t xml:space="preserve"> The House of Lords in Anns v. Merton</w:t>
      </w:r>
      <w:r w:rsidR="00504804">
        <w:rPr>
          <w:rStyle w:val="FootnoteReference"/>
          <w:rFonts w:ascii="Times New Roman" w:hAnsi="Times New Roman" w:cs="Times New Roman"/>
        </w:rPr>
        <w:footnoteReference w:id="4"/>
      </w:r>
      <w:r w:rsidR="00474FB2">
        <w:rPr>
          <w:rFonts w:ascii="Times New Roman" w:hAnsi="Times New Roman" w:cs="Times New Roman"/>
        </w:rPr>
        <w:t xml:space="preserve"> established the Anns test, which was then later taken into account in Kamloops v Nielsen</w:t>
      </w:r>
      <w:r w:rsidR="00504804">
        <w:rPr>
          <w:rStyle w:val="FootnoteReference"/>
          <w:rFonts w:ascii="Times New Roman" w:hAnsi="Times New Roman" w:cs="Times New Roman"/>
        </w:rPr>
        <w:footnoteReference w:id="5"/>
      </w:r>
      <w:r w:rsidR="00474FB2">
        <w:rPr>
          <w:rFonts w:ascii="Times New Roman" w:hAnsi="Times New Roman" w:cs="Times New Roman"/>
        </w:rPr>
        <w:t xml:space="preserve">. The trial judge in this case found that there was proximity between the dinner theatre and the group. The court of Appeals also decided that the dinner theatre should have taken positive action (because they served him a large quantity of alcohol) to prevent the situation from getting worse. They agreed with the trial judge and added that none of Mayfield’s employees approached Pettie to inquire about his ability to get home safely. </w:t>
      </w:r>
      <w:r w:rsidR="00553E4E">
        <w:rPr>
          <w:rFonts w:ascii="Times New Roman" w:hAnsi="Times New Roman" w:cs="Times New Roman"/>
        </w:rPr>
        <w:t xml:space="preserve">The Supreme Court allowed the appeal due to the fact that </w:t>
      </w:r>
      <w:r w:rsidR="00834078">
        <w:rPr>
          <w:rFonts w:ascii="Times New Roman" w:hAnsi="Times New Roman" w:cs="Times New Roman"/>
        </w:rPr>
        <w:t>there</w:t>
      </w:r>
      <w:r w:rsidR="00553E4E">
        <w:rPr>
          <w:rFonts w:ascii="Times New Roman" w:hAnsi="Times New Roman" w:cs="Times New Roman"/>
        </w:rPr>
        <w:t xml:space="preserve"> were sober people with Pettie and it was reasonable for the dinner theatre to assume that one of them would be driving. Despite this the Supreme Court say that commercial hosts must monitor their patrons amount of alcohol consumed and not just their visible state. </w:t>
      </w:r>
      <w:r w:rsidR="005F7310">
        <w:rPr>
          <w:rFonts w:ascii="Times New Roman" w:hAnsi="Times New Roman" w:cs="Times New Roman"/>
        </w:rPr>
        <w:t>The main difference between this case and Childs v. Desormeaux</w:t>
      </w:r>
      <w:r w:rsidR="00504804">
        <w:rPr>
          <w:rStyle w:val="FootnoteReference"/>
          <w:rFonts w:ascii="Times New Roman" w:hAnsi="Times New Roman" w:cs="Times New Roman"/>
        </w:rPr>
        <w:footnoteReference w:id="6"/>
      </w:r>
      <w:r w:rsidR="005F7310">
        <w:rPr>
          <w:rFonts w:ascii="Times New Roman" w:hAnsi="Times New Roman" w:cs="Times New Roman"/>
        </w:rPr>
        <w:t xml:space="preserve"> is that one concerns social host liability and the other revolves around commercial host liability. Social hosts do not owe a duty of care to third parties affected by the actions of their guests (unlike commercial hosts). Another difference between the two cases is that there was no visible foreseeability in Stewart v. Pettie</w:t>
      </w:r>
      <w:r w:rsidR="00752B65">
        <w:rPr>
          <w:rStyle w:val="FootnoteReference"/>
          <w:rFonts w:ascii="Times New Roman" w:hAnsi="Times New Roman" w:cs="Times New Roman"/>
        </w:rPr>
        <w:footnoteReference w:id="7"/>
      </w:r>
      <w:r w:rsidR="005F7310">
        <w:rPr>
          <w:rFonts w:ascii="Times New Roman" w:hAnsi="Times New Roman" w:cs="Times New Roman"/>
        </w:rPr>
        <w:t xml:space="preserve"> but because it was a commercial host </w:t>
      </w:r>
      <w:r w:rsidR="00053015">
        <w:rPr>
          <w:rFonts w:ascii="Times New Roman" w:hAnsi="Times New Roman" w:cs="Times New Roman"/>
        </w:rPr>
        <w:t>there</w:t>
      </w:r>
      <w:r w:rsidR="005F7310">
        <w:rPr>
          <w:rFonts w:ascii="Times New Roman" w:hAnsi="Times New Roman" w:cs="Times New Roman"/>
        </w:rPr>
        <w:t xml:space="preserve"> was definitely proximity. </w:t>
      </w:r>
      <w:r w:rsidR="00053015">
        <w:rPr>
          <w:rFonts w:ascii="Times New Roman" w:hAnsi="Times New Roman" w:cs="Times New Roman"/>
        </w:rPr>
        <w:t>In Childs v Desormeaux</w:t>
      </w:r>
      <w:r w:rsidR="00752B65">
        <w:rPr>
          <w:rStyle w:val="FootnoteReference"/>
          <w:rFonts w:ascii="Times New Roman" w:hAnsi="Times New Roman" w:cs="Times New Roman"/>
        </w:rPr>
        <w:footnoteReference w:id="8"/>
      </w:r>
      <w:r w:rsidR="00053015">
        <w:rPr>
          <w:rFonts w:ascii="Times New Roman" w:hAnsi="Times New Roman" w:cs="Times New Roman"/>
        </w:rPr>
        <w:t xml:space="preserve">, on the other hand, there was no proximity between the hosts and the third party </w:t>
      </w:r>
      <w:r w:rsidR="00261A23">
        <w:rPr>
          <w:rFonts w:ascii="Times New Roman" w:hAnsi="Times New Roman" w:cs="Times New Roman"/>
        </w:rPr>
        <w:t xml:space="preserve">nor were the hosts bound by policies therefore no standard of care was breeched on their behalf. </w:t>
      </w:r>
      <w:r w:rsidR="007B7FC9">
        <w:rPr>
          <w:rFonts w:ascii="Times New Roman" w:hAnsi="Times New Roman" w:cs="Times New Roman"/>
        </w:rPr>
        <w:t>In other words no paternalistic relationship exists</w:t>
      </w:r>
      <w:r w:rsidR="00E574DC">
        <w:rPr>
          <w:rFonts w:ascii="Times New Roman" w:hAnsi="Times New Roman" w:cs="Times New Roman"/>
        </w:rPr>
        <w:t xml:space="preserve"> between social hosts and third </w:t>
      </w:r>
      <w:r w:rsidR="007B7FC9">
        <w:rPr>
          <w:rFonts w:ascii="Times New Roman" w:hAnsi="Times New Roman" w:cs="Times New Roman"/>
        </w:rPr>
        <w:t xml:space="preserve">parties affected by their </w:t>
      </w:r>
      <w:r w:rsidR="00E574DC">
        <w:rPr>
          <w:rFonts w:ascii="Times New Roman" w:hAnsi="Times New Roman" w:cs="Times New Roman"/>
        </w:rPr>
        <w:t>guest’s</w:t>
      </w:r>
      <w:r w:rsidR="007B7FC9">
        <w:rPr>
          <w:rFonts w:ascii="Times New Roman" w:hAnsi="Times New Roman" w:cs="Times New Roman"/>
        </w:rPr>
        <w:t xml:space="preserve"> behavior upon leaving the premises. </w:t>
      </w:r>
    </w:p>
    <w:p w14:paraId="24597767" w14:textId="77777777" w:rsidR="005818AE" w:rsidRDefault="005818AE" w:rsidP="00654DB3">
      <w:pPr>
        <w:spacing w:line="480" w:lineRule="auto"/>
        <w:rPr>
          <w:rFonts w:ascii="Times New Roman" w:hAnsi="Times New Roman" w:cs="Times New Roman"/>
        </w:rPr>
      </w:pPr>
    </w:p>
    <w:p w14:paraId="5E366171" w14:textId="5E1C8C35" w:rsidR="00B3727C" w:rsidRDefault="00B3727C" w:rsidP="00654DB3">
      <w:pPr>
        <w:spacing w:line="480" w:lineRule="auto"/>
        <w:rPr>
          <w:rFonts w:ascii="Times New Roman" w:hAnsi="Times New Roman" w:cs="Times New Roman"/>
          <w:b/>
          <w:i/>
        </w:rPr>
      </w:pPr>
      <w:r>
        <w:rPr>
          <w:rFonts w:ascii="Times New Roman" w:hAnsi="Times New Roman" w:cs="Times New Roman"/>
          <w:b/>
          <w:i/>
        </w:rPr>
        <w:t>Elements of a Negligence Action</w:t>
      </w:r>
    </w:p>
    <w:p w14:paraId="05D13AB9" w14:textId="0CC4A1F0" w:rsidR="005818AE" w:rsidRDefault="008B649F" w:rsidP="00654DB3">
      <w:pPr>
        <w:spacing w:line="480" w:lineRule="auto"/>
        <w:ind w:firstLine="720"/>
        <w:rPr>
          <w:rFonts w:ascii="Times New Roman" w:hAnsi="Times New Roman" w:cs="Times New Roman"/>
        </w:rPr>
      </w:pPr>
      <w:r>
        <w:rPr>
          <w:rFonts w:ascii="Times New Roman" w:hAnsi="Times New Roman" w:cs="Times New Roman"/>
        </w:rPr>
        <w:t>To be successful in negligence action the plaintiff must establish the following things. The first and most important step is to show that the defendant had a duty of care</w:t>
      </w:r>
      <w:r w:rsidR="00B02751">
        <w:rPr>
          <w:rFonts w:ascii="Times New Roman" w:hAnsi="Times New Roman" w:cs="Times New Roman"/>
        </w:rPr>
        <w:t>, using the Anns test,</w:t>
      </w:r>
      <w:r>
        <w:rPr>
          <w:rFonts w:ascii="Times New Roman" w:hAnsi="Times New Roman" w:cs="Times New Roman"/>
        </w:rPr>
        <w:t xml:space="preserve"> regarding the plaintiff. This is where it is decided if their were specific requirements that ought to have been carried out by the defendant that would keep the plaintiff from being harmed. If a duty of care is not recognized then all the following steps are not considered. Secondly the plaintiff must show that the defendant breeched a standard of care that was owed. The standard of care is determined by inputting a fictional ‘reasonable person’ into the circumstances of the defendant to ascertain the measures he/she would take. The actions of the defendant will be compared to the objective standard. If the defendant’s actions are found to fall below this standard then the standard of care has been breeched. Their needs to be a relationship of cause and affect between the breach of the standard of care and the harm or the injury the plaintiff sustained. If a person had a duty of care and they have breeched the standard of care but there was no harm or loss as a result, then the tort of negligence has not been proven. Even if a causal link is confirmed, a court may not find negligence if the injury is too far removed from the proposed cause. This remoteness principle exists to govern the links between the parties and the harm inflicted and to make sure the final decision is delivered fairly and in a just manner. Defenses and damages are also contemplated when looking at elements of negligence action. </w:t>
      </w:r>
      <w:r w:rsidRPr="00087365">
        <w:rPr>
          <w:rFonts w:ascii="Times New Roman" w:hAnsi="Times New Roman" w:cs="Times New Roman"/>
        </w:rPr>
        <w:t>Failure to prove and link these steps together can result in the court disregarding the case as a tort of negligence.</w:t>
      </w:r>
      <w:r w:rsidR="0025566E">
        <w:rPr>
          <w:rFonts w:ascii="Times New Roman" w:hAnsi="Times New Roman" w:cs="Times New Roman"/>
        </w:rPr>
        <w:t xml:space="preserve"> </w:t>
      </w:r>
    </w:p>
    <w:p w14:paraId="2695A152" w14:textId="437179D7" w:rsidR="00E8568D" w:rsidRDefault="0025566E" w:rsidP="00654DB3">
      <w:pPr>
        <w:spacing w:line="480" w:lineRule="auto"/>
        <w:ind w:firstLine="720"/>
        <w:rPr>
          <w:rFonts w:ascii="Times New Roman" w:hAnsi="Times New Roman" w:cs="Times New Roman"/>
        </w:rPr>
      </w:pPr>
      <w:r>
        <w:rPr>
          <w:rFonts w:ascii="Times New Roman" w:hAnsi="Times New Roman" w:cs="Times New Roman"/>
        </w:rPr>
        <w:t>Because Childs v Desormeaux</w:t>
      </w:r>
      <w:r w:rsidR="000D60BC">
        <w:rPr>
          <w:rStyle w:val="FootnoteReference"/>
          <w:rFonts w:ascii="Times New Roman" w:hAnsi="Times New Roman" w:cs="Times New Roman"/>
        </w:rPr>
        <w:footnoteReference w:id="9"/>
      </w:r>
      <w:r w:rsidR="000D60BC">
        <w:rPr>
          <w:rFonts w:ascii="Times New Roman" w:hAnsi="Times New Roman" w:cs="Times New Roman"/>
        </w:rPr>
        <w:t xml:space="preserve"> </w:t>
      </w:r>
      <w:r>
        <w:rPr>
          <w:rFonts w:ascii="Times New Roman" w:hAnsi="Times New Roman" w:cs="Times New Roman"/>
        </w:rPr>
        <w:t xml:space="preserve">concerns social host liability </w:t>
      </w:r>
      <w:r w:rsidR="007B6846">
        <w:rPr>
          <w:rFonts w:ascii="Times New Roman" w:hAnsi="Times New Roman" w:cs="Times New Roman"/>
        </w:rPr>
        <w:t>it differs from many other cases. A relevant case to ours is Jordan House LTD v. Menow</w:t>
      </w:r>
      <w:r w:rsidR="000D60BC">
        <w:rPr>
          <w:rStyle w:val="FootnoteReference"/>
          <w:rFonts w:ascii="Times New Roman" w:hAnsi="Times New Roman" w:cs="Times New Roman"/>
        </w:rPr>
        <w:footnoteReference w:id="10"/>
      </w:r>
      <w:r w:rsidR="007B6846">
        <w:rPr>
          <w:rFonts w:ascii="Times New Roman" w:hAnsi="Times New Roman" w:cs="Times New Roman"/>
        </w:rPr>
        <w:t xml:space="preserve">. Menow was a regular at the bar and one night he drank too much and was forced out the bar. The waiters at the bar knew he had to walk home using a busy highway. While walking home he was struck by a car and sued the bar for damages. The Supreme Court held that the bar owed a duty of care and had breeched it. The reason behind this is because they are the one who put him in the situation. There is also sufficient proximity between the bar and Menow (he was a regular) and it was foreseeable that he would be injured on the way home. There are public policies that have been breeched in this case so Menow was compensated for his injuries. In Childs the courts had difficulties because of the same public policies that helped Menow. It is difficult to expand these policies to social hosts because they will create a very complicated change in the law. </w:t>
      </w:r>
    </w:p>
    <w:p w14:paraId="0D237558" w14:textId="77777777" w:rsidR="005818AE" w:rsidRDefault="005818AE" w:rsidP="00654DB3">
      <w:pPr>
        <w:spacing w:line="480" w:lineRule="auto"/>
        <w:ind w:firstLine="720"/>
        <w:rPr>
          <w:rFonts w:ascii="Times New Roman" w:hAnsi="Times New Roman" w:cs="Times New Roman"/>
        </w:rPr>
      </w:pPr>
    </w:p>
    <w:p w14:paraId="794BF53C" w14:textId="4DCA3CC8" w:rsidR="00775690" w:rsidRDefault="00775690" w:rsidP="00654DB3">
      <w:pPr>
        <w:spacing w:line="480" w:lineRule="auto"/>
        <w:rPr>
          <w:rFonts w:ascii="Times New Roman" w:hAnsi="Times New Roman" w:cs="Times New Roman"/>
          <w:b/>
          <w:i/>
        </w:rPr>
      </w:pPr>
      <w:r>
        <w:rPr>
          <w:rFonts w:ascii="Times New Roman" w:hAnsi="Times New Roman" w:cs="Times New Roman"/>
          <w:b/>
          <w:i/>
        </w:rPr>
        <w:t>Social host responsibilities</w:t>
      </w:r>
    </w:p>
    <w:p w14:paraId="720BE7D8" w14:textId="2968168B" w:rsidR="00775690" w:rsidRDefault="00136472" w:rsidP="00654DB3">
      <w:pPr>
        <w:spacing w:line="480" w:lineRule="auto"/>
        <w:rPr>
          <w:rFonts w:ascii="Times New Roman" w:hAnsi="Times New Roman" w:cs="Times New Roman"/>
        </w:rPr>
      </w:pPr>
      <w:r>
        <w:rPr>
          <w:rFonts w:ascii="Times New Roman" w:hAnsi="Times New Roman" w:cs="Times New Roman"/>
        </w:rPr>
        <w:tab/>
        <w:t>We will now explore the justifications made by judges in Childs</w:t>
      </w:r>
      <w:r w:rsidR="00FA17A7">
        <w:rPr>
          <w:rStyle w:val="FootnoteReference"/>
          <w:rFonts w:ascii="Times New Roman" w:hAnsi="Times New Roman" w:cs="Times New Roman"/>
        </w:rPr>
        <w:footnoteReference w:id="11"/>
      </w:r>
      <w:r>
        <w:rPr>
          <w:rFonts w:ascii="Times New Roman" w:hAnsi="Times New Roman" w:cs="Times New Roman"/>
        </w:rPr>
        <w:t xml:space="preserve">. At trial the judge concluded that the hosts did not owe a duty of care to third parties. The judge also made note that </w:t>
      </w:r>
      <w:r w:rsidR="00584F1A">
        <w:rPr>
          <w:rFonts w:ascii="Times New Roman" w:hAnsi="Times New Roman" w:cs="Times New Roman"/>
        </w:rPr>
        <w:t>there</w:t>
      </w:r>
      <w:r>
        <w:rPr>
          <w:rFonts w:ascii="Times New Roman" w:hAnsi="Times New Roman" w:cs="Times New Roman"/>
        </w:rPr>
        <w:t xml:space="preserve"> was a noel duty of care and a unique kind of liability. The judge applied the two-stage Anns test to this case. The first part of the tests exists to determine if there is proximity and if the injuries were foreseeable. Part two raises awareness about policy considerations that could possibly eliminate the duty of care.</w:t>
      </w:r>
      <w:r w:rsidR="00FA17A7">
        <w:rPr>
          <w:rStyle w:val="FootnoteReference"/>
          <w:rFonts w:ascii="Times New Roman" w:hAnsi="Times New Roman" w:cs="Times New Roman"/>
        </w:rPr>
        <w:footnoteReference w:id="12"/>
      </w:r>
      <w:r>
        <w:rPr>
          <w:rFonts w:ascii="Times New Roman" w:hAnsi="Times New Roman" w:cs="Times New Roman"/>
        </w:rPr>
        <w:t xml:space="preserve"> </w:t>
      </w:r>
      <w:r w:rsidR="00584F1A">
        <w:rPr>
          <w:rFonts w:ascii="Times New Roman" w:hAnsi="Times New Roman" w:cs="Times New Roman"/>
        </w:rPr>
        <w:t xml:space="preserve">The judge found that the hosts did indeed owe a duty of care under part one of the Anns test. However the judge decided it was not logical to find the hosts guilty on part two of the test. He mentions that that including social host liability in public policies will lead to many unnecessary changes in the law. The judge in the Court of Appeals agrees with the trial judge that a social host liability should not exist. He differs in views when it came to the idea of the hosts acting negligently. The judge speaks about how the hosts threw </w:t>
      </w:r>
      <w:proofErr w:type="gramStart"/>
      <w:r w:rsidR="00584F1A">
        <w:rPr>
          <w:rFonts w:ascii="Times New Roman" w:hAnsi="Times New Roman" w:cs="Times New Roman"/>
        </w:rPr>
        <w:t>a bring</w:t>
      </w:r>
      <w:proofErr w:type="gramEnd"/>
      <w:r w:rsidR="00584F1A">
        <w:rPr>
          <w:rFonts w:ascii="Times New Roman" w:hAnsi="Times New Roman" w:cs="Times New Roman"/>
        </w:rPr>
        <w:t xml:space="preserve"> your own booze </w:t>
      </w:r>
      <w:r w:rsidR="00761699">
        <w:rPr>
          <w:rFonts w:ascii="Times New Roman" w:hAnsi="Times New Roman" w:cs="Times New Roman"/>
        </w:rPr>
        <w:t xml:space="preserve">and so they did not serve Desormeaux nor did they know he was really intoxicated. On top of this there is no law that states social hosts must monitor their guests intake of alcohol. Therefore no duty of care is visible in the given </w:t>
      </w:r>
      <w:r w:rsidR="00437387">
        <w:rPr>
          <w:rFonts w:ascii="Times New Roman" w:hAnsi="Times New Roman" w:cs="Times New Roman"/>
        </w:rPr>
        <w:t>circumstances</w:t>
      </w:r>
      <w:r w:rsidR="00761699">
        <w:rPr>
          <w:rFonts w:ascii="Times New Roman" w:hAnsi="Times New Roman" w:cs="Times New Roman"/>
        </w:rPr>
        <w:t xml:space="preserve">. </w:t>
      </w:r>
      <w:r w:rsidR="00437387">
        <w:rPr>
          <w:rFonts w:ascii="Times New Roman" w:hAnsi="Times New Roman" w:cs="Times New Roman"/>
        </w:rPr>
        <w:t xml:space="preserve">The Supreme Court brought forward that social hosts are not restricted by policies like commercial hosts are. There are several differences between the two that makes it hard to apply a duty of care on social hosts. When the Supreme Court applied the Anns test they discovered that the proximity between social hosts and users of the roads was not sufficient enough to introduce a new duty of care. They also believe the injuries Childs sustained were not foreseeable by the hosts regardless of </w:t>
      </w:r>
      <w:proofErr w:type="spellStart"/>
      <w:r w:rsidR="00437387">
        <w:rPr>
          <w:rFonts w:ascii="Times New Roman" w:hAnsi="Times New Roman" w:cs="Times New Roman"/>
        </w:rPr>
        <w:t>Desormeaux’s</w:t>
      </w:r>
      <w:proofErr w:type="spellEnd"/>
      <w:r w:rsidR="00437387">
        <w:rPr>
          <w:rFonts w:ascii="Times New Roman" w:hAnsi="Times New Roman" w:cs="Times New Roman"/>
        </w:rPr>
        <w:t xml:space="preserve"> history of drinking and the hosts were not aware that he was intoxic</w:t>
      </w:r>
      <w:r w:rsidR="006B5ACF">
        <w:rPr>
          <w:rFonts w:ascii="Times New Roman" w:hAnsi="Times New Roman" w:cs="Times New Roman"/>
        </w:rPr>
        <w:t xml:space="preserve">ated. Social hosts do not carry a paternal relationship over their guests and so the case was dismissed. </w:t>
      </w:r>
    </w:p>
    <w:p w14:paraId="25E35AC7" w14:textId="77777777" w:rsidR="001120AA" w:rsidRDefault="001120AA" w:rsidP="00654DB3">
      <w:pPr>
        <w:spacing w:line="480" w:lineRule="auto"/>
        <w:rPr>
          <w:rFonts w:ascii="Times New Roman" w:hAnsi="Times New Roman" w:cs="Times New Roman"/>
        </w:rPr>
      </w:pPr>
    </w:p>
    <w:p w14:paraId="70F355BA" w14:textId="16D20C03" w:rsidR="00A826AC" w:rsidRDefault="00281F21" w:rsidP="00654DB3">
      <w:pPr>
        <w:spacing w:line="480" w:lineRule="auto"/>
        <w:rPr>
          <w:rFonts w:ascii="Times New Roman" w:hAnsi="Times New Roman" w:cs="Times New Roman"/>
          <w:b/>
          <w:i/>
        </w:rPr>
      </w:pPr>
      <w:r>
        <w:rPr>
          <w:rFonts w:ascii="Times New Roman" w:hAnsi="Times New Roman" w:cs="Times New Roman"/>
          <w:b/>
          <w:i/>
        </w:rPr>
        <w:t>Social hosts can be held</w:t>
      </w:r>
      <w:r w:rsidR="00A826AC">
        <w:rPr>
          <w:rFonts w:ascii="Times New Roman" w:hAnsi="Times New Roman" w:cs="Times New Roman"/>
          <w:b/>
          <w:i/>
        </w:rPr>
        <w:t xml:space="preserve"> liable</w:t>
      </w:r>
    </w:p>
    <w:p w14:paraId="448A3BFB" w14:textId="706784C0" w:rsidR="00517C77" w:rsidRPr="00517C77" w:rsidRDefault="00517C77" w:rsidP="00654DB3">
      <w:pPr>
        <w:spacing w:line="480" w:lineRule="auto"/>
        <w:rPr>
          <w:rFonts w:ascii="Times New Roman" w:hAnsi="Times New Roman" w:cs="Times New Roman"/>
        </w:rPr>
      </w:pPr>
      <w:r>
        <w:rPr>
          <w:rFonts w:ascii="Times New Roman" w:hAnsi="Times New Roman" w:cs="Times New Roman"/>
        </w:rPr>
        <w:tab/>
        <w:t>Fiona Kelley believ</w:t>
      </w:r>
      <w:r w:rsidR="007F3F19">
        <w:rPr>
          <w:rFonts w:ascii="Times New Roman" w:hAnsi="Times New Roman" w:cs="Times New Roman"/>
        </w:rPr>
        <w:t>es the Supreme Court’s reasoning</w:t>
      </w:r>
      <w:r>
        <w:rPr>
          <w:rFonts w:ascii="Times New Roman" w:hAnsi="Times New Roman" w:cs="Times New Roman"/>
        </w:rPr>
        <w:t xml:space="preserve"> in Childs v. Deso</w:t>
      </w:r>
      <w:r w:rsidR="00E641A9">
        <w:rPr>
          <w:rFonts w:ascii="Times New Roman" w:hAnsi="Times New Roman" w:cs="Times New Roman"/>
        </w:rPr>
        <w:t>rmeaux</w:t>
      </w:r>
      <w:r w:rsidR="00D471D9">
        <w:rPr>
          <w:rStyle w:val="FootnoteReference"/>
          <w:rFonts w:ascii="Times New Roman" w:hAnsi="Times New Roman" w:cs="Times New Roman"/>
        </w:rPr>
        <w:footnoteReference w:id="13"/>
      </w:r>
      <w:r w:rsidR="00E641A9">
        <w:rPr>
          <w:rFonts w:ascii="Times New Roman" w:hAnsi="Times New Roman" w:cs="Times New Roman"/>
        </w:rPr>
        <w:t xml:space="preserve"> were problematic and could be improved</w:t>
      </w:r>
      <w:r w:rsidR="007F3F19">
        <w:rPr>
          <w:rFonts w:ascii="Times New Roman" w:hAnsi="Times New Roman" w:cs="Times New Roman"/>
        </w:rPr>
        <w:t xml:space="preserve"> but she believes the final decision made was the right one</w:t>
      </w:r>
      <w:r>
        <w:rPr>
          <w:rFonts w:ascii="Times New Roman" w:hAnsi="Times New Roman" w:cs="Times New Roman"/>
        </w:rPr>
        <w:t xml:space="preserve">. </w:t>
      </w:r>
      <w:r w:rsidR="00924FA0">
        <w:rPr>
          <w:rFonts w:ascii="Times New Roman" w:hAnsi="Times New Roman" w:cs="Times New Roman"/>
        </w:rPr>
        <w:t xml:space="preserve">She mentions that </w:t>
      </w:r>
      <w:r w:rsidR="00997610">
        <w:rPr>
          <w:rFonts w:ascii="Times New Roman" w:hAnsi="Times New Roman" w:cs="Times New Roman"/>
        </w:rPr>
        <w:t xml:space="preserve">a drunk driver is still posing a risk to those around whether he drank at a private party or commercial host. </w:t>
      </w:r>
      <w:r w:rsidR="00E641A9">
        <w:rPr>
          <w:rFonts w:ascii="Times New Roman" w:hAnsi="Times New Roman" w:cs="Times New Roman"/>
        </w:rPr>
        <w:t xml:space="preserve">She respects that the courts did mention a duty </w:t>
      </w:r>
      <w:r w:rsidR="009729DB">
        <w:rPr>
          <w:rFonts w:ascii="Times New Roman" w:hAnsi="Times New Roman" w:cs="Times New Roman"/>
        </w:rPr>
        <w:t>might</w:t>
      </w:r>
      <w:r w:rsidR="00E641A9">
        <w:rPr>
          <w:rFonts w:ascii="Times New Roman" w:hAnsi="Times New Roman" w:cs="Times New Roman"/>
        </w:rPr>
        <w:t xml:space="preserve"> arise to a social host if they enforce the risk of a negative situation arising. </w:t>
      </w:r>
      <w:r w:rsidR="00997610">
        <w:rPr>
          <w:rFonts w:ascii="Times New Roman" w:hAnsi="Times New Roman" w:cs="Times New Roman"/>
        </w:rPr>
        <w:t xml:space="preserve"> </w:t>
      </w:r>
      <w:r w:rsidR="00F2572B">
        <w:rPr>
          <w:rFonts w:ascii="Times New Roman" w:hAnsi="Times New Roman" w:cs="Times New Roman"/>
        </w:rPr>
        <w:t xml:space="preserve">Kelley brings up three arguments against the Supreme Court. The first argument is that the issue in the case was not to recognize a new duty of care but to expand the already existing duty owed by commercial host to social hosts as well. She says that when hosts are aware of a drunk driver then they must commence by preventing a dangerous situation materializing. </w:t>
      </w:r>
      <w:r w:rsidR="00912767">
        <w:rPr>
          <w:rFonts w:ascii="Times New Roman" w:hAnsi="Times New Roman" w:cs="Times New Roman"/>
        </w:rPr>
        <w:t xml:space="preserve">She is aware that commercial hosts are trained in dealing with intoxicated people and mentions that social hosts can use some of these techniques to assure the safety of everyone. </w:t>
      </w:r>
      <w:r w:rsidR="009063CA">
        <w:rPr>
          <w:rFonts w:ascii="Times New Roman" w:hAnsi="Times New Roman" w:cs="Times New Roman"/>
        </w:rPr>
        <w:t xml:space="preserve">The second argument Kelley brings up is that a duty of care from social hosts should arise in very precise circumstances. This way social hosts won’t have to assume too many responsibilities and the courts can navigate through the case in a much simpler manner. </w:t>
      </w:r>
      <w:r w:rsidR="004D2BF6">
        <w:rPr>
          <w:rFonts w:ascii="Times New Roman" w:hAnsi="Times New Roman" w:cs="Times New Roman"/>
        </w:rPr>
        <w:t>The precise circumstances can be: if the guest is showing great signs of intoxication, if they know the guest had many drinks, or if the host are aware of their guests drinking habits and that the guest will later be driving</w:t>
      </w:r>
      <w:r w:rsidR="001D656C">
        <w:rPr>
          <w:rFonts w:ascii="Times New Roman" w:hAnsi="Times New Roman" w:cs="Times New Roman"/>
        </w:rPr>
        <w:t>.</w:t>
      </w:r>
      <w:r w:rsidR="0022644B">
        <w:rPr>
          <w:rFonts w:ascii="Times New Roman" w:hAnsi="Times New Roman" w:cs="Times New Roman"/>
        </w:rPr>
        <w:t xml:space="preserve"> The Supreme Court say that hosts should not question the autonomy of their guests and Kelley finds this unreasonable. She believes guests should not have t</w:t>
      </w:r>
      <w:r w:rsidR="000E5E02">
        <w:rPr>
          <w:rFonts w:ascii="Times New Roman" w:hAnsi="Times New Roman" w:cs="Times New Roman"/>
        </w:rPr>
        <w:t>he ability to drink freely because it</w:t>
      </w:r>
      <w:r w:rsidR="0022644B">
        <w:rPr>
          <w:rFonts w:ascii="Times New Roman" w:hAnsi="Times New Roman" w:cs="Times New Roman"/>
        </w:rPr>
        <w:t xml:space="preserve"> will end in them posing a risk to society. </w:t>
      </w:r>
      <w:r w:rsidR="00B4121A">
        <w:rPr>
          <w:rFonts w:ascii="Times New Roman" w:hAnsi="Times New Roman" w:cs="Times New Roman"/>
        </w:rPr>
        <w:t>A host protecting their guest’s autonomy when it comes to drinking only means they will breech their relationship</w:t>
      </w:r>
      <w:r w:rsidR="0022644B">
        <w:rPr>
          <w:rFonts w:ascii="Times New Roman" w:hAnsi="Times New Roman" w:cs="Times New Roman"/>
        </w:rPr>
        <w:t xml:space="preserve"> </w:t>
      </w:r>
      <w:r w:rsidR="00B4121A">
        <w:rPr>
          <w:rFonts w:ascii="Times New Roman" w:hAnsi="Times New Roman" w:cs="Times New Roman"/>
        </w:rPr>
        <w:t>and the duty they have to the community as a whole.</w:t>
      </w:r>
      <w:r w:rsidR="00AB35EE">
        <w:rPr>
          <w:rStyle w:val="FootnoteReference"/>
          <w:rFonts w:ascii="Times New Roman" w:hAnsi="Times New Roman" w:cs="Times New Roman"/>
        </w:rPr>
        <w:footnoteReference w:id="14"/>
      </w:r>
      <w:r w:rsidR="00B4121A">
        <w:rPr>
          <w:rFonts w:ascii="Times New Roman" w:hAnsi="Times New Roman" w:cs="Times New Roman"/>
        </w:rPr>
        <w:t xml:space="preserve"> </w:t>
      </w:r>
      <w:r w:rsidR="00EB3926">
        <w:rPr>
          <w:rFonts w:ascii="Times New Roman" w:hAnsi="Times New Roman" w:cs="Times New Roman"/>
        </w:rPr>
        <w:t xml:space="preserve">Drinking and driving is not a private issue. It is one that affects all the people around you and must therefore be tended to by anyone who can prevent it. </w:t>
      </w:r>
    </w:p>
    <w:p w14:paraId="78541901" w14:textId="77777777" w:rsidR="003274D2" w:rsidRDefault="003274D2" w:rsidP="00654DB3">
      <w:pPr>
        <w:spacing w:line="480" w:lineRule="auto"/>
        <w:rPr>
          <w:rFonts w:ascii="Times New Roman" w:hAnsi="Times New Roman" w:cs="Times New Roman"/>
          <w:b/>
          <w:i/>
        </w:rPr>
      </w:pPr>
    </w:p>
    <w:p w14:paraId="4D502F94" w14:textId="1FFD1017" w:rsidR="003274D2" w:rsidRDefault="003274D2" w:rsidP="00654DB3">
      <w:pPr>
        <w:spacing w:line="480" w:lineRule="auto"/>
        <w:rPr>
          <w:rFonts w:ascii="Times New Roman" w:hAnsi="Times New Roman" w:cs="Times New Roman"/>
          <w:b/>
          <w:i/>
        </w:rPr>
      </w:pPr>
      <w:r>
        <w:rPr>
          <w:rFonts w:ascii="Times New Roman" w:hAnsi="Times New Roman" w:cs="Times New Roman"/>
          <w:b/>
          <w:i/>
        </w:rPr>
        <w:t>A quest regarding policies</w:t>
      </w:r>
    </w:p>
    <w:p w14:paraId="02925DB0" w14:textId="7548D8EA" w:rsidR="006700B3" w:rsidRPr="006700B3" w:rsidRDefault="002038C8" w:rsidP="00654DB3">
      <w:pPr>
        <w:spacing w:line="480" w:lineRule="auto"/>
        <w:ind w:firstLine="720"/>
        <w:rPr>
          <w:rFonts w:ascii="Times New Roman" w:hAnsi="Times New Roman" w:cs="Times New Roman"/>
        </w:rPr>
      </w:pPr>
      <w:r>
        <w:rPr>
          <w:rFonts w:ascii="Times New Roman" w:hAnsi="Times New Roman" w:cs="Times New Roman"/>
        </w:rPr>
        <w:t>The Supreme Court did not deliver a reasonable decision when looking at Childs v. Desormeaux.</w:t>
      </w:r>
      <w:r w:rsidR="00AB35EE">
        <w:rPr>
          <w:rStyle w:val="FootnoteReference"/>
          <w:rFonts w:ascii="Times New Roman" w:hAnsi="Times New Roman" w:cs="Times New Roman"/>
        </w:rPr>
        <w:footnoteReference w:id="15"/>
      </w:r>
      <w:r>
        <w:rPr>
          <w:rFonts w:ascii="Times New Roman" w:hAnsi="Times New Roman" w:cs="Times New Roman"/>
        </w:rPr>
        <w:t xml:space="preserve"> In some situation social hosts should be held liable, and this was one of them. Desormeaux had a history of drinking and driving that the hosts knew about. Had they acted reasonable and prevented him from driving the whole situation could have been avoided. </w:t>
      </w:r>
      <w:r w:rsidR="006879DB">
        <w:rPr>
          <w:rFonts w:ascii="Times New Roman" w:hAnsi="Times New Roman" w:cs="Times New Roman"/>
        </w:rPr>
        <w:t>Yes it is difficult to make decisions when policies come into consider</w:t>
      </w:r>
      <w:r w:rsidR="007E5A93">
        <w:rPr>
          <w:rFonts w:ascii="Times New Roman" w:hAnsi="Times New Roman" w:cs="Times New Roman"/>
        </w:rPr>
        <w:t>ation, but not in this case. Having been charged before hand Desormeaux should not be allowed to drive in the first place. If we expect a cha</w:t>
      </w:r>
      <w:r w:rsidR="00A24CE5">
        <w:rPr>
          <w:rFonts w:ascii="Times New Roman" w:hAnsi="Times New Roman" w:cs="Times New Roman"/>
        </w:rPr>
        <w:t>nge when it comes to drunken</w:t>
      </w:r>
      <w:r w:rsidR="007E5A93">
        <w:rPr>
          <w:rFonts w:ascii="Times New Roman" w:hAnsi="Times New Roman" w:cs="Times New Roman"/>
        </w:rPr>
        <w:t xml:space="preserve"> people driving then very strict ground rules must be put down. </w:t>
      </w:r>
      <w:r w:rsidR="00704A03">
        <w:rPr>
          <w:rFonts w:ascii="Times New Roman" w:hAnsi="Times New Roman" w:cs="Times New Roman"/>
        </w:rPr>
        <w:t xml:space="preserve">We never know for sure when an unfortunate situation may arise but if there is just a small suspicion then actions must be taken. </w:t>
      </w:r>
      <w:r w:rsidR="00546F2E">
        <w:rPr>
          <w:rFonts w:ascii="Times New Roman" w:hAnsi="Times New Roman" w:cs="Times New Roman"/>
        </w:rPr>
        <w:t>If anything the policies should be concerning social hosts and not commercial hosts. The reason I say this is because as Kelley mentioned: “… 80 percent of alcohol consumptions in Canada occurs in homes and other private places…”</w:t>
      </w:r>
      <w:r w:rsidR="00AB35EE">
        <w:rPr>
          <w:rStyle w:val="FootnoteReference"/>
          <w:rFonts w:ascii="Times New Roman" w:hAnsi="Times New Roman" w:cs="Times New Roman"/>
        </w:rPr>
        <w:footnoteReference w:id="16"/>
      </w:r>
      <w:r w:rsidR="00546F2E">
        <w:rPr>
          <w:rFonts w:ascii="Times New Roman" w:hAnsi="Times New Roman" w:cs="Times New Roman"/>
        </w:rPr>
        <w:t xml:space="preserve"> </w:t>
      </w:r>
    </w:p>
    <w:p w14:paraId="183E101E" w14:textId="77777777" w:rsidR="003274D2" w:rsidRDefault="003274D2" w:rsidP="00654DB3">
      <w:pPr>
        <w:spacing w:line="480" w:lineRule="auto"/>
        <w:rPr>
          <w:rFonts w:ascii="Times New Roman" w:hAnsi="Times New Roman" w:cs="Times New Roman"/>
          <w:b/>
          <w:i/>
        </w:rPr>
      </w:pPr>
    </w:p>
    <w:p w14:paraId="4A5EF6E1" w14:textId="70A69C94" w:rsidR="003274D2" w:rsidRDefault="003274D2" w:rsidP="00654DB3">
      <w:pPr>
        <w:spacing w:line="480" w:lineRule="auto"/>
        <w:rPr>
          <w:rFonts w:ascii="Times New Roman" w:hAnsi="Times New Roman" w:cs="Times New Roman"/>
          <w:b/>
          <w:i/>
        </w:rPr>
      </w:pPr>
      <w:r>
        <w:rPr>
          <w:rFonts w:ascii="Times New Roman" w:hAnsi="Times New Roman" w:cs="Times New Roman"/>
          <w:b/>
          <w:i/>
        </w:rPr>
        <w:t>Losses and compensation</w:t>
      </w:r>
    </w:p>
    <w:p w14:paraId="3831FC3E" w14:textId="5E4E1943" w:rsidR="003274D2" w:rsidRPr="003274D2" w:rsidRDefault="003274D2" w:rsidP="00654DB3">
      <w:pPr>
        <w:spacing w:line="480" w:lineRule="auto"/>
        <w:rPr>
          <w:rFonts w:ascii="Times New Roman" w:hAnsi="Times New Roman" w:cs="Times New Roman"/>
        </w:rPr>
      </w:pPr>
      <w:r>
        <w:rPr>
          <w:rFonts w:ascii="Times New Roman" w:hAnsi="Times New Roman" w:cs="Times New Roman"/>
        </w:rPr>
        <w:tab/>
        <w:t xml:space="preserve">I believe the law has not met the full meaning of shifting losses. There are several cases where a great understanding of the law is shown and </w:t>
      </w:r>
      <w:proofErr w:type="gramStart"/>
      <w:r>
        <w:rPr>
          <w:rFonts w:ascii="Times New Roman" w:hAnsi="Times New Roman" w:cs="Times New Roman"/>
        </w:rPr>
        <w:t>some where</w:t>
      </w:r>
      <w:proofErr w:type="gramEnd"/>
      <w:r>
        <w:rPr>
          <w:rFonts w:ascii="Times New Roman" w:hAnsi="Times New Roman" w:cs="Times New Roman"/>
        </w:rPr>
        <w:t xml:space="preserve"> a poor job was made decision wise. In Childs v. Desormeaux</w:t>
      </w:r>
      <w:r w:rsidR="00FA29E5">
        <w:rPr>
          <w:rStyle w:val="FootnoteReference"/>
          <w:rFonts w:ascii="Times New Roman" w:hAnsi="Times New Roman" w:cs="Times New Roman"/>
        </w:rPr>
        <w:footnoteReference w:id="17"/>
      </w:r>
      <w:r>
        <w:rPr>
          <w:rFonts w:ascii="Times New Roman" w:hAnsi="Times New Roman" w:cs="Times New Roman"/>
        </w:rPr>
        <w:t xml:space="preserve"> all three levels of courts should have held the hosts somewhat liable. They did after all know their guest had a history of drinking. They have let him sleep over several times before after he drank too much, which implies he was a</w:t>
      </w:r>
      <w:r w:rsidR="00A61506">
        <w:rPr>
          <w:rFonts w:ascii="Times New Roman" w:hAnsi="Times New Roman" w:cs="Times New Roman"/>
        </w:rPr>
        <w:t xml:space="preserve"> rather close friend. This fact</w:t>
      </w:r>
      <w:r>
        <w:rPr>
          <w:rFonts w:ascii="Times New Roman" w:hAnsi="Times New Roman" w:cs="Times New Roman"/>
        </w:rPr>
        <w:t xml:space="preserve"> shows that a special relationship did exist between the two. Had</w:t>
      </w:r>
      <w:r w:rsidR="00A61506">
        <w:rPr>
          <w:rFonts w:ascii="Times New Roman" w:hAnsi="Times New Roman" w:cs="Times New Roman"/>
        </w:rPr>
        <w:t xml:space="preserve"> the hosts allowed him to sleep at their place they could have avoided the foreseeable injuries that occurred. One cannot fully blame the courts because they had to take the ideas of public policies and they way only apply to </w:t>
      </w:r>
      <w:r w:rsidR="00B14877">
        <w:rPr>
          <w:rFonts w:ascii="Times New Roman" w:hAnsi="Times New Roman" w:cs="Times New Roman"/>
        </w:rPr>
        <w:t xml:space="preserve">commercial hosts into consideration. The judges made the right decision in not allowing policies affect social hosts but at the same time social hosts must be held somewhat liable. In some cases a social host can prevent injury on their guest and on third parties. When they can do so then there is a positive duty to act. Living in a society means we must all look out for each other, whether or not policies tell us to do so. </w:t>
      </w:r>
      <w:r w:rsidR="00E043A5">
        <w:rPr>
          <w:rFonts w:ascii="Times New Roman" w:hAnsi="Times New Roman" w:cs="Times New Roman"/>
        </w:rPr>
        <w:t>Also commercial hosts should not take full responsibility because one i</w:t>
      </w:r>
      <w:r w:rsidR="00866FCC">
        <w:rPr>
          <w:rFonts w:ascii="Times New Roman" w:hAnsi="Times New Roman" w:cs="Times New Roman"/>
        </w:rPr>
        <w:t xml:space="preserve">ndividual made wrong decisions. </w:t>
      </w:r>
    </w:p>
    <w:p w14:paraId="1D071359" w14:textId="409EC474" w:rsidR="003D4BD1" w:rsidRPr="003D4BD1" w:rsidRDefault="00A826AC" w:rsidP="001120AA">
      <w:pPr>
        <w:spacing w:line="360" w:lineRule="auto"/>
        <w:rPr>
          <w:rFonts w:ascii="Times New Roman" w:hAnsi="Times New Roman" w:cs="Times New Roman"/>
        </w:rPr>
      </w:pPr>
      <w:r>
        <w:rPr>
          <w:rFonts w:ascii="Times New Roman" w:hAnsi="Times New Roman" w:cs="Times New Roman"/>
        </w:rPr>
        <w:tab/>
      </w:r>
      <w:bookmarkStart w:id="0" w:name="_GoBack"/>
      <w:bookmarkEnd w:id="0"/>
    </w:p>
    <w:sectPr w:rsidR="003D4BD1" w:rsidRPr="003D4BD1" w:rsidSect="001363C4">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FC8FA3" w14:textId="77777777" w:rsidR="005E4AE8" w:rsidRDefault="005E4AE8" w:rsidP="004B7E16">
      <w:r>
        <w:separator/>
      </w:r>
    </w:p>
  </w:endnote>
  <w:endnote w:type="continuationSeparator" w:id="0">
    <w:p w14:paraId="7E795943" w14:textId="77777777" w:rsidR="005E4AE8" w:rsidRDefault="005E4AE8" w:rsidP="004B7E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F40B63" w14:textId="77777777" w:rsidR="005E4AE8" w:rsidRDefault="005E4AE8" w:rsidP="004B7E16">
      <w:r>
        <w:separator/>
      </w:r>
    </w:p>
  </w:footnote>
  <w:footnote w:type="continuationSeparator" w:id="0">
    <w:p w14:paraId="7A59F20C" w14:textId="77777777" w:rsidR="005E4AE8" w:rsidRDefault="005E4AE8" w:rsidP="004B7E16">
      <w:r>
        <w:continuationSeparator/>
      </w:r>
    </w:p>
  </w:footnote>
  <w:footnote w:id="1">
    <w:p w14:paraId="5AF49796" w14:textId="77777777" w:rsidR="005E4AE8" w:rsidRPr="00A52F95" w:rsidRDefault="005E4AE8" w:rsidP="00632808">
      <w:pPr>
        <w:rPr>
          <w:rFonts w:eastAsia="Times New Roman" w:cs="Arial"/>
          <w:sz w:val="16"/>
          <w:szCs w:val="16"/>
        </w:rPr>
      </w:pPr>
      <w:r w:rsidRPr="00C968D4">
        <w:rPr>
          <w:rStyle w:val="FootnoteReference"/>
          <w:sz w:val="16"/>
          <w:szCs w:val="16"/>
        </w:rPr>
        <w:footnoteRef/>
      </w:r>
      <w:r w:rsidRPr="00C968D4">
        <w:rPr>
          <w:sz w:val="16"/>
          <w:szCs w:val="16"/>
        </w:rPr>
        <w:t xml:space="preserve"> </w:t>
      </w:r>
      <w:r w:rsidRPr="00A52F95">
        <w:rPr>
          <w:rFonts w:eastAsia="Times New Roman" w:cs="Arial"/>
          <w:color w:val="222222"/>
          <w:sz w:val="16"/>
          <w:szCs w:val="16"/>
          <w:shd w:val="clear" w:color="auto" w:fill="FFFFFF"/>
        </w:rPr>
        <w:t>[2006] 1 S.C.R. 643, 2006 SCC 18</w:t>
      </w:r>
    </w:p>
    <w:p w14:paraId="3DAC948A" w14:textId="2F7C802B" w:rsidR="005E4AE8" w:rsidRDefault="005E4AE8">
      <w:pPr>
        <w:pStyle w:val="FootnoteText"/>
      </w:pPr>
    </w:p>
  </w:footnote>
  <w:footnote w:id="2">
    <w:p w14:paraId="00300ECE" w14:textId="08A1C973" w:rsidR="005E4AE8" w:rsidRPr="002C4AB3" w:rsidRDefault="005E4AE8" w:rsidP="002C4AB3">
      <w:pPr>
        <w:rPr>
          <w:rFonts w:ascii="Times" w:eastAsia="Times New Roman" w:hAnsi="Times" w:cs="Times New Roman"/>
          <w:sz w:val="20"/>
          <w:szCs w:val="20"/>
        </w:rPr>
      </w:pPr>
      <w:r w:rsidRPr="00C968D4">
        <w:rPr>
          <w:rStyle w:val="FootnoteReference"/>
          <w:sz w:val="16"/>
          <w:szCs w:val="16"/>
        </w:rPr>
        <w:footnoteRef/>
      </w:r>
      <w:r w:rsidRPr="00C968D4">
        <w:rPr>
          <w:sz w:val="16"/>
          <w:szCs w:val="16"/>
        </w:rPr>
        <w:t xml:space="preserve"> </w:t>
      </w:r>
      <w:r w:rsidRPr="002C4AB3">
        <w:rPr>
          <w:rFonts w:eastAsia="Times New Roman" w:cs="Arial"/>
          <w:color w:val="222222"/>
          <w:sz w:val="16"/>
          <w:szCs w:val="16"/>
          <w:shd w:val="clear" w:color="auto" w:fill="FFFFFF"/>
        </w:rPr>
        <w:t>[1995] 1 S.C.R. 131</w:t>
      </w:r>
    </w:p>
  </w:footnote>
  <w:footnote w:id="3">
    <w:p w14:paraId="74903262" w14:textId="644F3991" w:rsidR="005E4AE8" w:rsidRPr="00C968D4" w:rsidRDefault="005E4AE8">
      <w:pPr>
        <w:pStyle w:val="FootnoteText"/>
        <w:rPr>
          <w:sz w:val="16"/>
          <w:szCs w:val="16"/>
        </w:rPr>
      </w:pPr>
      <w:r w:rsidRPr="00C968D4">
        <w:rPr>
          <w:rStyle w:val="FootnoteReference"/>
          <w:sz w:val="16"/>
          <w:szCs w:val="16"/>
        </w:rPr>
        <w:footnoteRef/>
      </w:r>
      <w:r w:rsidRPr="00C968D4">
        <w:rPr>
          <w:sz w:val="16"/>
          <w:szCs w:val="16"/>
        </w:rPr>
        <w:t xml:space="preserve"> </w:t>
      </w:r>
      <w:r>
        <w:rPr>
          <w:sz w:val="16"/>
          <w:szCs w:val="16"/>
        </w:rPr>
        <w:t>Desormeaux, Supra note 1</w:t>
      </w:r>
    </w:p>
  </w:footnote>
  <w:footnote w:id="4">
    <w:p w14:paraId="2E6A8F7B" w14:textId="0231A272" w:rsidR="005E4AE8" w:rsidRPr="00FF05D2" w:rsidRDefault="005E4AE8" w:rsidP="00FF05D2">
      <w:pPr>
        <w:rPr>
          <w:rFonts w:ascii="Times" w:eastAsia="Times New Roman" w:hAnsi="Times" w:cs="Times New Roman"/>
          <w:sz w:val="20"/>
          <w:szCs w:val="20"/>
        </w:rPr>
      </w:pPr>
      <w:r w:rsidRPr="00C968D4">
        <w:rPr>
          <w:rStyle w:val="FootnoteReference"/>
          <w:sz w:val="16"/>
          <w:szCs w:val="16"/>
        </w:rPr>
        <w:footnoteRef/>
      </w:r>
      <w:r w:rsidRPr="00C968D4">
        <w:rPr>
          <w:sz w:val="16"/>
          <w:szCs w:val="16"/>
        </w:rPr>
        <w:t xml:space="preserve"> </w:t>
      </w:r>
      <w:r w:rsidRPr="00FF05D2">
        <w:rPr>
          <w:rFonts w:eastAsia="Times New Roman" w:cs="Arial"/>
          <w:color w:val="222222"/>
          <w:sz w:val="16"/>
          <w:szCs w:val="16"/>
          <w:shd w:val="clear" w:color="auto" w:fill="FFFFFF"/>
        </w:rPr>
        <w:t>[1978] A.C. 728</w:t>
      </w:r>
    </w:p>
  </w:footnote>
  <w:footnote w:id="5">
    <w:p w14:paraId="2653BF5C" w14:textId="1588349E" w:rsidR="005E4AE8" w:rsidRPr="003C4B4A" w:rsidRDefault="005E4AE8" w:rsidP="003C4B4A">
      <w:pPr>
        <w:rPr>
          <w:rFonts w:eastAsia="Times New Roman" w:cs="Times New Roman"/>
          <w:sz w:val="16"/>
          <w:szCs w:val="16"/>
        </w:rPr>
      </w:pPr>
      <w:r w:rsidRPr="003C4B4A">
        <w:rPr>
          <w:rStyle w:val="FootnoteReference"/>
          <w:sz w:val="16"/>
          <w:szCs w:val="16"/>
        </w:rPr>
        <w:footnoteRef/>
      </w:r>
      <w:r w:rsidRPr="003C4B4A">
        <w:rPr>
          <w:sz w:val="16"/>
          <w:szCs w:val="16"/>
        </w:rPr>
        <w:t xml:space="preserve"> </w:t>
      </w:r>
      <w:r w:rsidRPr="003C4B4A">
        <w:rPr>
          <w:rFonts w:eastAsia="Times New Roman" w:cs="Arial"/>
          <w:color w:val="222222"/>
          <w:sz w:val="16"/>
          <w:szCs w:val="16"/>
          <w:shd w:val="clear" w:color="auto" w:fill="FFFFFF"/>
        </w:rPr>
        <w:t>[1984] 2 S.C.R. 2</w:t>
      </w:r>
    </w:p>
  </w:footnote>
  <w:footnote w:id="6">
    <w:p w14:paraId="2C120BDC" w14:textId="6061C778" w:rsidR="005E4AE8" w:rsidRPr="005E4AE8" w:rsidRDefault="005E4AE8">
      <w:pPr>
        <w:pStyle w:val="FootnoteText"/>
        <w:rPr>
          <w:sz w:val="16"/>
          <w:szCs w:val="16"/>
        </w:rPr>
      </w:pPr>
      <w:r w:rsidRPr="00C968D4">
        <w:rPr>
          <w:rStyle w:val="FootnoteReference"/>
          <w:sz w:val="16"/>
          <w:szCs w:val="16"/>
        </w:rPr>
        <w:footnoteRef/>
      </w:r>
      <w:r>
        <w:t xml:space="preserve"> </w:t>
      </w:r>
      <w:r>
        <w:rPr>
          <w:sz w:val="16"/>
          <w:szCs w:val="16"/>
        </w:rPr>
        <w:t>Desormeaux, Supra note 1</w:t>
      </w:r>
    </w:p>
  </w:footnote>
  <w:footnote w:id="7">
    <w:p w14:paraId="352041C8" w14:textId="2FC94A94" w:rsidR="005E4AE8" w:rsidRPr="00106C8A" w:rsidRDefault="005E4AE8">
      <w:pPr>
        <w:pStyle w:val="FootnoteText"/>
        <w:rPr>
          <w:sz w:val="16"/>
          <w:szCs w:val="16"/>
        </w:rPr>
      </w:pPr>
      <w:r w:rsidRPr="00106C8A">
        <w:rPr>
          <w:rStyle w:val="FootnoteReference"/>
          <w:sz w:val="16"/>
          <w:szCs w:val="16"/>
        </w:rPr>
        <w:footnoteRef/>
      </w:r>
      <w:r w:rsidRPr="00106C8A">
        <w:rPr>
          <w:sz w:val="16"/>
          <w:szCs w:val="16"/>
        </w:rPr>
        <w:t xml:space="preserve"> </w:t>
      </w:r>
      <w:r w:rsidR="00106C8A">
        <w:rPr>
          <w:sz w:val="16"/>
          <w:szCs w:val="16"/>
        </w:rPr>
        <w:t>Pettie, Supra note 2</w:t>
      </w:r>
    </w:p>
  </w:footnote>
  <w:footnote w:id="8">
    <w:p w14:paraId="6CF73C95" w14:textId="657A40C3" w:rsidR="005E4AE8" w:rsidRPr="00BC3581" w:rsidRDefault="005E4AE8">
      <w:pPr>
        <w:pStyle w:val="FootnoteText"/>
        <w:rPr>
          <w:sz w:val="16"/>
          <w:szCs w:val="16"/>
        </w:rPr>
      </w:pPr>
      <w:r w:rsidRPr="00106C8A">
        <w:rPr>
          <w:rStyle w:val="FootnoteReference"/>
          <w:sz w:val="16"/>
          <w:szCs w:val="16"/>
        </w:rPr>
        <w:footnoteRef/>
      </w:r>
      <w:r>
        <w:t xml:space="preserve"> </w:t>
      </w:r>
      <w:r w:rsidR="00BC3581">
        <w:rPr>
          <w:sz w:val="16"/>
          <w:szCs w:val="16"/>
        </w:rPr>
        <w:t>Desormeaux, Supra note 1</w:t>
      </w:r>
    </w:p>
  </w:footnote>
  <w:footnote w:id="9">
    <w:p w14:paraId="146650F5" w14:textId="78F56938" w:rsidR="005E4AE8" w:rsidRPr="00AF5C74" w:rsidRDefault="005E4AE8">
      <w:pPr>
        <w:pStyle w:val="FootnoteText"/>
        <w:rPr>
          <w:sz w:val="16"/>
          <w:szCs w:val="16"/>
        </w:rPr>
      </w:pPr>
      <w:r w:rsidRPr="00AF5C74">
        <w:rPr>
          <w:rStyle w:val="FootnoteReference"/>
          <w:sz w:val="16"/>
          <w:szCs w:val="16"/>
        </w:rPr>
        <w:footnoteRef/>
      </w:r>
      <w:r w:rsidRPr="00AF5C74">
        <w:rPr>
          <w:sz w:val="16"/>
          <w:szCs w:val="16"/>
        </w:rPr>
        <w:t xml:space="preserve"> </w:t>
      </w:r>
      <w:r w:rsidR="00881032">
        <w:rPr>
          <w:sz w:val="16"/>
          <w:szCs w:val="16"/>
        </w:rPr>
        <w:t xml:space="preserve">ibid Desormeaux </w:t>
      </w:r>
    </w:p>
  </w:footnote>
  <w:footnote w:id="10">
    <w:p w14:paraId="5771663D" w14:textId="346C276D" w:rsidR="00702F26" w:rsidRPr="00702F26" w:rsidRDefault="005E4AE8" w:rsidP="00702F26">
      <w:pPr>
        <w:rPr>
          <w:rFonts w:ascii="Times" w:eastAsia="Times New Roman" w:hAnsi="Times" w:cs="Times New Roman"/>
          <w:sz w:val="20"/>
          <w:szCs w:val="20"/>
        </w:rPr>
      </w:pPr>
      <w:r w:rsidRPr="00AF5C74">
        <w:rPr>
          <w:rStyle w:val="FootnoteReference"/>
          <w:sz w:val="16"/>
          <w:szCs w:val="16"/>
        </w:rPr>
        <w:footnoteRef/>
      </w:r>
      <w:r>
        <w:t xml:space="preserve"> </w:t>
      </w:r>
      <w:r w:rsidR="00702F26" w:rsidRPr="00702F26">
        <w:rPr>
          <w:rFonts w:ascii="Arial" w:eastAsia="Times New Roman" w:hAnsi="Arial" w:cs="Arial"/>
          <w:color w:val="222222"/>
          <w:sz w:val="16"/>
          <w:szCs w:val="16"/>
          <w:shd w:val="clear" w:color="auto" w:fill="FFFFFF"/>
        </w:rPr>
        <w:t>[1974] S.C.R. 239</w:t>
      </w:r>
    </w:p>
    <w:p w14:paraId="735C0F1C" w14:textId="36BFC10A" w:rsidR="005E4AE8" w:rsidRDefault="005E4AE8">
      <w:pPr>
        <w:pStyle w:val="FootnoteText"/>
      </w:pPr>
    </w:p>
  </w:footnote>
  <w:footnote w:id="11">
    <w:p w14:paraId="36D83AF1" w14:textId="47CAECC7" w:rsidR="005E4AE8" w:rsidRPr="00C35F51" w:rsidRDefault="005E4AE8">
      <w:pPr>
        <w:pStyle w:val="FootnoteText"/>
        <w:rPr>
          <w:sz w:val="16"/>
          <w:szCs w:val="16"/>
        </w:rPr>
      </w:pPr>
      <w:r w:rsidRPr="00C35F51">
        <w:rPr>
          <w:rStyle w:val="FootnoteReference"/>
          <w:sz w:val="16"/>
          <w:szCs w:val="16"/>
        </w:rPr>
        <w:footnoteRef/>
      </w:r>
      <w:r w:rsidRPr="00C35F51">
        <w:rPr>
          <w:sz w:val="16"/>
          <w:szCs w:val="16"/>
        </w:rPr>
        <w:t xml:space="preserve"> </w:t>
      </w:r>
      <w:r w:rsidR="00C35F51">
        <w:rPr>
          <w:sz w:val="16"/>
          <w:szCs w:val="16"/>
        </w:rPr>
        <w:t>Desormeaux, Supra note 1</w:t>
      </w:r>
    </w:p>
  </w:footnote>
  <w:footnote w:id="12">
    <w:p w14:paraId="193588E6" w14:textId="17FC5791" w:rsidR="005E4AE8" w:rsidRPr="003E17C1" w:rsidRDefault="005E4AE8">
      <w:pPr>
        <w:pStyle w:val="FootnoteText"/>
        <w:rPr>
          <w:sz w:val="16"/>
          <w:szCs w:val="16"/>
        </w:rPr>
      </w:pPr>
      <w:r w:rsidRPr="00C35F51">
        <w:rPr>
          <w:rStyle w:val="FootnoteReference"/>
          <w:sz w:val="16"/>
          <w:szCs w:val="16"/>
        </w:rPr>
        <w:footnoteRef/>
      </w:r>
      <w:r>
        <w:t xml:space="preserve"> </w:t>
      </w:r>
      <w:r w:rsidR="003E17C1">
        <w:rPr>
          <w:sz w:val="16"/>
          <w:szCs w:val="16"/>
        </w:rPr>
        <w:t>Nielsen, Supra note 4</w:t>
      </w:r>
    </w:p>
  </w:footnote>
  <w:footnote w:id="13">
    <w:p w14:paraId="4E5CA3A0" w14:textId="1AD08AD6" w:rsidR="00D471D9" w:rsidRPr="00D471D9" w:rsidRDefault="00D471D9">
      <w:pPr>
        <w:pStyle w:val="FootnoteText"/>
        <w:rPr>
          <w:sz w:val="16"/>
          <w:szCs w:val="16"/>
        </w:rPr>
      </w:pPr>
      <w:r w:rsidRPr="00D471D9">
        <w:rPr>
          <w:rStyle w:val="FootnoteReference"/>
          <w:sz w:val="16"/>
          <w:szCs w:val="16"/>
        </w:rPr>
        <w:footnoteRef/>
      </w:r>
      <w:r w:rsidRPr="00D471D9">
        <w:rPr>
          <w:sz w:val="16"/>
          <w:szCs w:val="16"/>
        </w:rPr>
        <w:t xml:space="preserve"> </w:t>
      </w:r>
      <w:r>
        <w:rPr>
          <w:sz w:val="16"/>
          <w:szCs w:val="16"/>
        </w:rPr>
        <w:t>Desormeaux, Supra note 1</w:t>
      </w:r>
    </w:p>
  </w:footnote>
  <w:footnote w:id="14">
    <w:p w14:paraId="792863EA" w14:textId="0B489AD1" w:rsidR="005E4AE8" w:rsidRPr="0040110F" w:rsidRDefault="005E4AE8">
      <w:pPr>
        <w:pStyle w:val="FootnoteText"/>
        <w:rPr>
          <w:sz w:val="16"/>
          <w:szCs w:val="16"/>
        </w:rPr>
      </w:pPr>
      <w:r w:rsidRPr="0040110F">
        <w:rPr>
          <w:rStyle w:val="FootnoteReference"/>
          <w:sz w:val="16"/>
          <w:szCs w:val="16"/>
        </w:rPr>
        <w:footnoteRef/>
      </w:r>
      <w:r w:rsidRPr="0040110F">
        <w:rPr>
          <w:sz w:val="16"/>
          <w:szCs w:val="16"/>
        </w:rPr>
        <w:t xml:space="preserve"> </w:t>
      </w:r>
      <w:r w:rsidR="0040110F">
        <w:rPr>
          <w:sz w:val="16"/>
          <w:szCs w:val="16"/>
        </w:rPr>
        <w:t xml:space="preserve">Fiona Kelley, “Before you host a party, read this: social host liability and the decision in Childs v Desormeaux”, Obligations in private law (Concord, Ontario. </w:t>
      </w:r>
      <w:proofErr w:type="spellStart"/>
      <w:r w:rsidR="0040110F">
        <w:rPr>
          <w:sz w:val="16"/>
          <w:szCs w:val="16"/>
        </w:rPr>
        <w:t>Captus</w:t>
      </w:r>
      <w:proofErr w:type="spellEnd"/>
      <w:r w:rsidR="0040110F">
        <w:rPr>
          <w:sz w:val="16"/>
          <w:szCs w:val="16"/>
        </w:rPr>
        <w:t xml:space="preserve"> Press Inc. 2012) </w:t>
      </w:r>
    </w:p>
  </w:footnote>
  <w:footnote w:id="15">
    <w:p w14:paraId="7A56152E" w14:textId="1CD64491" w:rsidR="005E4AE8" w:rsidRPr="0040110F" w:rsidRDefault="005E4AE8">
      <w:pPr>
        <w:pStyle w:val="FootnoteText"/>
        <w:rPr>
          <w:sz w:val="16"/>
          <w:szCs w:val="16"/>
        </w:rPr>
      </w:pPr>
      <w:r w:rsidRPr="0040110F">
        <w:rPr>
          <w:rStyle w:val="FootnoteReference"/>
          <w:sz w:val="16"/>
          <w:szCs w:val="16"/>
        </w:rPr>
        <w:footnoteRef/>
      </w:r>
      <w:r w:rsidRPr="0040110F">
        <w:rPr>
          <w:sz w:val="16"/>
          <w:szCs w:val="16"/>
        </w:rPr>
        <w:t xml:space="preserve"> </w:t>
      </w:r>
      <w:r w:rsidR="006C71B1">
        <w:rPr>
          <w:sz w:val="16"/>
          <w:szCs w:val="16"/>
        </w:rPr>
        <w:t>Desormeaux, Supra note 1</w:t>
      </w:r>
    </w:p>
  </w:footnote>
  <w:footnote w:id="16">
    <w:p w14:paraId="06B677AE" w14:textId="1ACDD42D" w:rsidR="005E4AE8" w:rsidRDefault="005E4AE8">
      <w:pPr>
        <w:pStyle w:val="FootnoteText"/>
      </w:pPr>
      <w:r w:rsidRPr="0040110F">
        <w:rPr>
          <w:rStyle w:val="FootnoteReference"/>
          <w:sz w:val="16"/>
          <w:szCs w:val="16"/>
        </w:rPr>
        <w:footnoteRef/>
      </w:r>
      <w:r>
        <w:t xml:space="preserve"> </w:t>
      </w:r>
      <w:r w:rsidR="00574350">
        <w:rPr>
          <w:sz w:val="16"/>
          <w:szCs w:val="16"/>
        </w:rPr>
        <w:t>Kelley, Supra note 14</w:t>
      </w:r>
    </w:p>
  </w:footnote>
  <w:footnote w:id="17">
    <w:p w14:paraId="752BF6DA" w14:textId="7F042F21" w:rsidR="005E4AE8" w:rsidRPr="00D16445" w:rsidRDefault="005E4AE8">
      <w:pPr>
        <w:pStyle w:val="FootnoteText"/>
        <w:rPr>
          <w:sz w:val="16"/>
          <w:szCs w:val="16"/>
        </w:rPr>
      </w:pPr>
      <w:r w:rsidRPr="00D16445">
        <w:rPr>
          <w:rStyle w:val="FootnoteReference"/>
          <w:sz w:val="16"/>
          <w:szCs w:val="16"/>
        </w:rPr>
        <w:footnoteRef/>
      </w:r>
      <w:r w:rsidRPr="00D16445">
        <w:rPr>
          <w:sz w:val="16"/>
          <w:szCs w:val="16"/>
        </w:rPr>
        <w:t xml:space="preserve"> </w:t>
      </w:r>
      <w:r w:rsidR="00D16445">
        <w:rPr>
          <w:sz w:val="16"/>
          <w:szCs w:val="16"/>
        </w:rPr>
        <w:t>Desormeaux, Supra note 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954"/>
    <w:rsid w:val="00053015"/>
    <w:rsid w:val="000D60BC"/>
    <w:rsid w:val="000E5E02"/>
    <w:rsid w:val="000F41AC"/>
    <w:rsid w:val="00106C8A"/>
    <w:rsid w:val="001120AA"/>
    <w:rsid w:val="001363C4"/>
    <w:rsid w:val="00136472"/>
    <w:rsid w:val="00160B65"/>
    <w:rsid w:val="001A6A30"/>
    <w:rsid w:val="001D656C"/>
    <w:rsid w:val="002038C8"/>
    <w:rsid w:val="00205351"/>
    <w:rsid w:val="0022644B"/>
    <w:rsid w:val="0025566E"/>
    <w:rsid w:val="00261A23"/>
    <w:rsid w:val="0026231A"/>
    <w:rsid w:val="00281F21"/>
    <w:rsid w:val="002C4AB3"/>
    <w:rsid w:val="003079AE"/>
    <w:rsid w:val="003274D2"/>
    <w:rsid w:val="0038002A"/>
    <w:rsid w:val="003A6954"/>
    <w:rsid w:val="003C4B4A"/>
    <w:rsid w:val="003D4BD1"/>
    <w:rsid w:val="003E17C1"/>
    <w:rsid w:val="0040110F"/>
    <w:rsid w:val="00436556"/>
    <w:rsid w:val="00437387"/>
    <w:rsid w:val="00472479"/>
    <w:rsid w:val="00474FB2"/>
    <w:rsid w:val="004B7E16"/>
    <w:rsid w:val="004D2BF6"/>
    <w:rsid w:val="004E2303"/>
    <w:rsid w:val="00504804"/>
    <w:rsid w:val="00517C77"/>
    <w:rsid w:val="00542F2A"/>
    <w:rsid w:val="00546F2E"/>
    <w:rsid w:val="00553E4E"/>
    <w:rsid w:val="00574350"/>
    <w:rsid w:val="005818AE"/>
    <w:rsid w:val="00584F1A"/>
    <w:rsid w:val="005E4AE8"/>
    <w:rsid w:val="005F7310"/>
    <w:rsid w:val="00632808"/>
    <w:rsid w:val="00654DB3"/>
    <w:rsid w:val="00662AA0"/>
    <w:rsid w:val="006700B3"/>
    <w:rsid w:val="006879DB"/>
    <w:rsid w:val="006B5ACF"/>
    <w:rsid w:val="006C71B1"/>
    <w:rsid w:val="00702F26"/>
    <w:rsid w:val="00704A03"/>
    <w:rsid w:val="00721983"/>
    <w:rsid w:val="00722C3D"/>
    <w:rsid w:val="0072683C"/>
    <w:rsid w:val="00752B65"/>
    <w:rsid w:val="00761699"/>
    <w:rsid w:val="00770E02"/>
    <w:rsid w:val="00775690"/>
    <w:rsid w:val="007B6846"/>
    <w:rsid w:val="007B7FC9"/>
    <w:rsid w:val="007E5A93"/>
    <w:rsid w:val="007F3F19"/>
    <w:rsid w:val="00834078"/>
    <w:rsid w:val="00866FCC"/>
    <w:rsid w:val="00875E37"/>
    <w:rsid w:val="00881032"/>
    <w:rsid w:val="008B649F"/>
    <w:rsid w:val="00900FF5"/>
    <w:rsid w:val="009063CA"/>
    <w:rsid w:val="00912767"/>
    <w:rsid w:val="00924FA0"/>
    <w:rsid w:val="009729DB"/>
    <w:rsid w:val="00997610"/>
    <w:rsid w:val="009E4222"/>
    <w:rsid w:val="00A24CE5"/>
    <w:rsid w:val="00A52F95"/>
    <w:rsid w:val="00A61506"/>
    <w:rsid w:val="00A826AC"/>
    <w:rsid w:val="00AB35EE"/>
    <w:rsid w:val="00AF5C74"/>
    <w:rsid w:val="00B02751"/>
    <w:rsid w:val="00B03B2C"/>
    <w:rsid w:val="00B14877"/>
    <w:rsid w:val="00B3727C"/>
    <w:rsid w:val="00B4121A"/>
    <w:rsid w:val="00B44F83"/>
    <w:rsid w:val="00BC3581"/>
    <w:rsid w:val="00C35F51"/>
    <w:rsid w:val="00C968D4"/>
    <w:rsid w:val="00CD3FB9"/>
    <w:rsid w:val="00D16445"/>
    <w:rsid w:val="00D471D9"/>
    <w:rsid w:val="00D90660"/>
    <w:rsid w:val="00DB7FD9"/>
    <w:rsid w:val="00E043A5"/>
    <w:rsid w:val="00E574DC"/>
    <w:rsid w:val="00E614C2"/>
    <w:rsid w:val="00E641A9"/>
    <w:rsid w:val="00E8568D"/>
    <w:rsid w:val="00EB3926"/>
    <w:rsid w:val="00F2572B"/>
    <w:rsid w:val="00F83C74"/>
    <w:rsid w:val="00FA17A7"/>
    <w:rsid w:val="00FA29E5"/>
    <w:rsid w:val="00FD554B"/>
    <w:rsid w:val="00FF05D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1D5B83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4B7E16"/>
  </w:style>
  <w:style w:type="character" w:customStyle="1" w:styleId="FootnoteTextChar">
    <w:name w:val="Footnote Text Char"/>
    <w:basedOn w:val="DefaultParagraphFont"/>
    <w:link w:val="FootnoteText"/>
    <w:uiPriority w:val="99"/>
    <w:rsid w:val="004B7E16"/>
  </w:style>
  <w:style w:type="character" w:styleId="FootnoteReference">
    <w:name w:val="footnote reference"/>
    <w:basedOn w:val="DefaultParagraphFont"/>
    <w:uiPriority w:val="99"/>
    <w:unhideWhenUsed/>
    <w:rsid w:val="004B7E16"/>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4B7E16"/>
  </w:style>
  <w:style w:type="character" w:customStyle="1" w:styleId="FootnoteTextChar">
    <w:name w:val="Footnote Text Char"/>
    <w:basedOn w:val="DefaultParagraphFont"/>
    <w:link w:val="FootnoteText"/>
    <w:uiPriority w:val="99"/>
    <w:rsid w:val="004B7E16"/>
  </w:style>
  <w:style w:type="character" w:styleId="FootnoteReference">
    <w:name w:val="footnote reference"/>
    <w:basedOn w:val="DefaultParagraphFont"/>
    <w:uiPriority w:val="99"/>
    <w:unhideWhenUsed/>
    <w:rsid w:val="004B7E1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2623249">
      <w:bodyDiv w:val="1"/>
      <w:marLeft w:val="0"/>
      <w:marRight w:val="0"/>
      <w:marTop w:val="0"/>
      <w:marBottom w:val="0"/>
      <w:divBdr>
        <w:top w:val="none" w:sz="0" w:space="0" w:color="auto"/>
        <w:left w:val="none" w:sz="0" w:space="0" w:color="auto"/>
        <w:bottom w:val="none" w:sz="0" w:space="0" w:color="auto"/>
        <w:right w:val="none" w:sz="0" w:space="0" w:color="auto"/>
      </w:divBdr>
    </w:div>
    <w:div w:id="787510215">
      <w:bodyDiv w:val="1"/>
      <w:marLeft w:val="0"/>
      <w:marRight w:val="0"/>
      <w:marTop w:val="0"/>
      <w:marBottom w:val="0"/>
      <w:divBdr>
        <w:top w:val="none" w:sz="0" w:space="0" w:color="auto"/>
        <w:left w:val="none" w:sz="0" w:space="0" w:color="auto"/>
        <w:bottom w:val="none" w:sz="0" w:space="0" w:color="auto"/>
        <w:right w:val="none" w:sz="0" w:space="0" w:color="auto"/>
      </w:divBdr>
    </w:div>
    <w:div w:id="819469281">
      <w:bodyDiv w:val="1"/>
      <w:marLeft w:val="0"/>
      <w:marRight w:val="0"/>
      <w:marTop w:val="0"/>
      <w:marBottom w:val="0"/>
      <w:divBdr>
        <w:top w:val="none" w:sz="0" w:space="0" w:color="auto"/>
        <w:left w:val="none" w:sz="0" w:space="0" w:color="auto"/>
        <w:bottom w:val="none" w:sz="0" w:space="0" w:color="auto"/>
        <w:right w:val="none" w:sz="0" w:space="0" w:color="auto"/>
      </w:divBdr>
    </w:div>
    <w:div w:id="842816342">
      <w:bodyDiv w:val="1"/>
      <w:marLeft w:val="0"/>
      <w:marRight w:val="0"/>
      <w:marTop w:val="0"/>
      <w:marBottom w:val="0"/>
      <w:divBdr>
        <w:top w:val="none" w:sz="0" w:space="0" w:color="auto"/>
        <w:left w:val="none" w:sz="0" w:space="0" w:color="auto"/>
        <w:bottom w:val="none" w:sz="0" w:space="0" w:color="auto"/>
        <w:right w:val="none" w:sz="0" w:space="0" w:color="auto"/>
      </w:divBdr>
    </w:div>
    <w:div w:id="130103188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A676C9-1416-8941-8103-8A12B624B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8</Pages>
  <Words>2005</Words>
  <Characters>11434</Characters>
  <Application>Microsoft Macintosh Word</Application>
  <DocSecurity>0</DocSecurity>
  <Lines>95</Lines>
  <Paragraphs>26</Paragraphs>
  <ScaleCrop>false</ScaleCrop>
  <Company>Carleton University</Company>
  <LinksUpToDate>false</LinksUpToDate>
  <CharactersWithSpaces>13413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Meras Honjol</dc:creator>
  <cp:keywords/>
  <dc:description/>
  <cp:lastModifiedBy>Meras Honjol</cp:lastModifiedBy>
  <cp:revision>108</cp:revision>
  <cp:lastPrinted>2013-02-20T16:40:00Z</cp:lastPrinted>
  <dcterms:created xsi:type="dcterms:W3CDTF">2013-02-20T15:31:00Z</dcterms:created>
  <dcterms:modified xsi:type="dcterms:W3CDTF">2013-02-20T18:56:00Z</dcterms:modified>
</cp:coreProperties>
</file>