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D3" w:rsidRDefault="00627941" w:rsidP="00627941">
      <w:pPr>
        <w:pStyle w:val="Title"/>
        <w:spacing w:after="0"/>
        <w:jc w:val="center"/>
      </w:pPr>
      <w:r>
        <w:t>Chapter 4</w:t>
      </w:r>
    </w:p>
    <w:p w:rsidR="00627941" w:rsidRDefault="00627941" w:rsidP="00627941">
      <w:pPr>
        <w:pStyle w:val="NoSpacing"/>
        <w:jc w:val="center"/>
        <w:rPr>
          <w:rStyle w:val="Strong"/>
        </w:rPr>
      </w:pPr>
      <w:r w:rsidRPr="00627941">
        <w:rPr>
          <w:rStyle w:val="Strong"/>
        </w:rPr>
        <w:t>Intentional Torts</w:t>
      </w:r>
    </w:p>
    <w:p w:rsidR="00E0451A" w:rsidRPr="0023617A" w:rsidRDefault="00E0451A" w:rsidP="00E0451A">
      <w:pPr>
        <w:pStyle w:val="Heading2"/>
        <w:spacing w:line="240" w:lineRule="auto"/>
        <w:rPr>
          <w:rStyle w:val="Strong"/>
          <w:b/>
          <w:bCs/>
        </w:rPr>
      </w:pPr>
      <w:r>
        <w:rPr>
          <w:rStyle w:val="Strong"/>
          <w:b/>
          <w:bCs/>
        </w:rPr>
        <w:t>Assault and Battery</w:t>
      </w:r>
    </w:p>
    <w:p w:rsidR="00627941" w:rsidRDefault="00627941" w:rsidP="00627941">
      <w:pPr>
        <w:pStyle w:val="NoSpacing"/>
        <w:rPr>
          <w:rStyle w:val="Strong"/>
        </w:rPr>
      </w:pPr>
      <w:r>
        <w:rPr>
          <w:rStyle w:val="Strong"/>
        </w:rPr>
        <w:t xml:space="preserve">Intentional Torts – </w:t>
      </w:r>
      <w:r w:rsidRPr="00627941">
        <w:rPr>
          <w:bCs/>
        </w:rPr>
        <w:t>involve intentional, rather than merely careless, conduct</w:t>
      </w:r>
    </w:p>
    <w:p w:rsidR="00627941" w:rsidRDefault="00627941" w:rsidP="00627941">
      <w:pPr>
        <w:pStyle w:val="NoSpacing"/>
        <w:rPr>
          <w:rStyle w:val="Strong"/>
          <w:b w:val="0"/>
        </w:rPr>
      </w:pPr>
      <w:r>
        <w:rPr>
          <w:rStyle w:val="Strong"/>
        </w:rPr>
        <w:t xml:space="preserve">Assault – </w:t>
      </w:r>
      <w:r w:rsidRPr="00627941">
        <w:rPr>
          <w:rStyle w:val="Strong"/>
          <w:b w:val="0"/>
        </w:rPr>
        <w:t>the tor</w:t>
      </w:r>
      <w:r>
        <w:rPr>
          <w:rStyle w:val="Strong"/>
          <w:b w:val="0"/>
        </w:rPr>
        <w:t>t</w:t>
      </w:r>
      <w:r w:rsidRPr="00627941">
        <w:rPr>
          <w:rStyle w:val="Strong"/>
          <w:b w:val="0"/>
        </w:rPr>
        <w:t xml:space="preserve"> of assault occurs when the defendant intentionally causes the plaintiff to reasonably believe that offensive bodily contact is imminent</w:t>
      </w:r>
      <w:r>
        <w:rPr>
          <w:rStyle w:val="Strong"/>
          <w:b w:val="0"/>
        </w:rPr>
        <w:tab/>
      </w:r>
    </w:p>
    <w:p w:rsidR="00627941" w:rsidRPr="00627941" w:rsidRDefault="00627941" w:rsidP="00627941">
      <w:pPr>
        <w:pStyle w:val="NoSpacing"/>
        <w:numPr>
          <w:ilvl w:val="0"/>
          <w:numId w:val="1"/>
        </w:numPr>
        <w:rPr>
          <w:rStyle w:val="Strong"/>
          <w:b w:val="0"/>
        </w:rPr>
      </w:pPr>
      <w:r w:rsidRPr="00627941">
        <w:rPr>
          <w:rStyle w:val="Strong"/>
          <w:b w:val="0"/>
        </w:rPr>
        <w:t>The tort is not based on physical contact. It is based on reasonable belief that such contact will occur.</w:t>
      </w:r>
    </w:p>
    <w:p w:rsidR="00627941" w:rsidRDefault="00627941" w:rsidP="00627941">
      <w:pPr>
        <w:pStyle w:val="NoSpacing"/>
        <w:numPr>
          <w:ilvl w:val="0"/>
          <w:numId w:val="1"/>
        </w:numPr>
        <w:rPr>
          <w:rStyle w:val="Strong"/>
          <w:b w:val="0"/>
        </w:rPr>
      </w:pPr>
      <w:r w:rsidRPr="00627941">
        <w:rPr>
          <w:rStyle w:val="Strong"/>
          <w:b w:val="0"/>
        </w:rPr>
        <w:t>It is enough if the plaintiff reasonably believed that bodily contact will occur.</w:t>
      </w:r>
    </w:p>
    <w:p w:rsidR="00627941" w:rsidRDefault="00627941" w:rsidP="00627941">
      <w:pPr>
        <w:pStyle w:val="NoSpacing"/>
        <w:rPr>
          <w:rStyle w:val="Strong"/>
          <w:b w:val="0"/>
        </w:rPr>
      </w:pPr>
      <w:r w:rsidRPr="00627941">
        <w:rPr>
          <w:rStyle w:val="Strong"/>
        </w:rPr>
        <w:t>Battery</w:t>
      </w:r>
      <w:r>
        <w:rPr>
          <w:rStyle w:val="Strong"/>
          <w:b w:val="0"/>
        </w:rPr>
        <w:t xml:space="preserve"> – the tort of battery consists of offensive bodily contact</w:t>
      </w:r>
    </w:p>
    <w:p w:rsidR="00627941" w:rsidRDefault="00E0451A" w:rsidP="00627941">
      <w:pPr>
        <w:pStyle w:val="NoSpacing"/>
        <w:numPr>
          <w:ilvl w:val="0"/>
          <w:numId w:val="2"/>
        </w:numPr>
        <w:rPr>
          <w:rStyle w:val="Strong"/>
          <w:b w:val="0"/>
        </w:rPr>
      </w:pPr>
      <w:r>
        <w:rPr>
          <w:rStyle w:val="Strong"/>
          <w:b w:val="0"/>
        </w:rPr>
        <w:t>The requirement of bodily contact is not strictly applied. It is enough if the defendant causes something, such as a knife or a bullet to touch the plaintiff</w:t>
      </w:r>
    </w:p>
    <w:p w:rsidR="00E0451A" w:rsidRDefault="00E0451A" w:rsidP="00627941">
      <w:pPr>
        <w:pStyle w:val="NoSpacing"/>
        <w:numPr>
          <w:ilvl w:val="0"/>
          <w:numId w:val="2"/>
        </w:numPr>
        <w:rPr>
          <w:rStyle w:val="Strong"/>
          <w:b w:val="0"/>
        </w:rPr>
      </w:pPr>
      <w:r>
        <w:rPr>
          <w:rStyle w:val="Strong"/>
          <w:b w:val="0"/>
        </w:rPr>
        <w:t>Not every form of contact is offensive. Normal social interaction is allowed.</w:t>
      </w:r>
    </w:p>
    <w:p w:rsidR="00E0451A" w:rsidRPr="0023617A" w:rsidRDefault="00E0451A" w:rsidP="00E0451A">
      <w:pPr>
        <w:pStyle w:val="Heading2"/>
        <w:spacing w:line="240" w:lineRule="auto"/>
        <w:rPr>
          <w:rStyle w:val="Strong"/>
          <w:b/>
          <w:bCs/>
        </w:rPr>
      </w:pPr>
      <w:r>
        <w:rPr>
          <w:rStyle w:val="Strong"/>
          <w:b/>
          <w:bCs/>
        </w:rPr>
        <w:t>False Imprisonment</w:t>
      </w:r>
    </w:p>
    <w:p w:rsidR="00E0451A" w:rsidRDefault="00E0451A" w:rsidP="00E0451A">
      <w:pPr>
        <w:pStyle w:val="NoSpacing"/>
        <w:rPr>
          <w:rStyle w:val="Strong"/>
          <w:b w:val="0"/>
        </w:rPr>
      </w:pPr>
      <w:r w:rsidRPr="00787CB2">
        <w:rPr>
          <w:rStyle w:val="Strong"/>
        </w:rPr>
        <w:t>False imprisonment</w:t>
      </w:r>
      <w:r>
        <w:rPr>
          <w:rStyle w:val="Strong"/>
          <w:b w:val="0"/>
        </w:rPr>
        <w:t xml:space="preserve"> – the tort of false imprisonment occurs when a person is confined within a fixed area </w:t>
      </w:r>
      <w:r w:rsidR="00787CB2">
        <w:rPr>
          <w:rStyle w:val="Strong"/>
          <w:b w:val="0"/>
        </w:rPr>
        <w:t>without</w:t>
      </w:r>
      <w:r>
        <w:rPr>
          <w:rStyle w:val="Strong"/>
          <w:b w:val="0"/>
        </w:rPr>
        <w:t xml:space="preserve"> justification</w:t>
      </w:r>
    </w:p>
    <w:p w:rsidR="00787CB2" w:rsidRDefault="00787CB2" w:rsidP="00787CB2">
      <w:pPr>
        <w:pStyle w:val="NoSpacing"/>
        <w:numPr>
          <w:ilvl w:val="0"/>
          <w:numId w:val="4"/>
        </w:numPr>
        <w:rPr>
          <w:rStyle w:val="Strong"/>
          <w:b w:val="0"/>
        </w:rPr>
      </w:pPr>
      <w:r>
        <w:rPr>
          <w:rStyle w:val="Strong"/>
          <w:b w:val="0"/>
        </w:rPr>
        <w:t>The tort can be committed if a person is trapped in a car, locked in a room or set adrift in a boat</w:t>
      </w:r>
    </w:p>
    <w:p w:rsidR="00787CB2" w:rsidRDefault="00787CB2" w:rsidP="00787CB2">
      <w:pPr>
        <w:pStyle w:val="NoSpacing"/>
        <w:numPr>
          <w:ilvl w:val="0"/>
          <w:numId w:val="4"/>
        </w:numPr>
        <w:rPr>
          <w:rStyle w:val="Strong"/>
          <w:b w:val="0"/>
        </w:rPr>
      </w:pPr>
      <w:r>
        <w:rPr>
          <w:rStyle w:val="Strong"/>
          <w:b w:val="0"/>
        </w:rPr>
        <w:t>Physical force is not necessary. The detention may be psychological</w:t>
      </w:r>
    </w:p>
    <w:p w:rsidR="00787CB2" w:rsidRDefault="00787CB2" w:rsidP="00787CB2">
      <w:pPr>
        <w:pStyle w:val="NoSpacing"/>
        <w:numPr>
          <w:ilvl w:val="0"/>
          <w:numId w:val="4"/>
        </w:numPr>
        <w:rPr>
          <w:rStyle w:val="Strong"/>
          <w:b w:val="0"/>
        </w:rPr>
      </w:pPr>
      <w:r>
        <w:rPr>
          <w:rStyle w:val="Strong"/>
          <w:b w:val="0"/>
        </w:rPr>
        <w:t>A business may still be held liable if it directed the officer to make the arrest, rather than merely state the facts and allow the officer to draw a conclusion</w:t>
      </w:r>
    </w:p>
    <w:p w:rsidR="00787CB2" w:rsidRDefault="00787CB2" w:rsidP="00787CB2">
      <w:pPr>
        <w:pStyle w:val="NoSpacing"/>
        <w:rPr>
          <w:rStyle w:val="Strong"/>
          <w:b w:val="0"/>
        </w:rPr>
      </w:pPr>
      <w:r w:rsidRPr="00B07A19">
        <w:rPr>
          <w:rStyle w:val="Strong"/>
        </w:rPr>
        <w:t xml:space="preserve">Malicious </w:t>
      </w:r>
      <w:r w:rsidR="00B07A19">
        <w:rPr>
          <w:rStyle w:val="Strong"/>
        </w:rPr>
        <w:t>P</w:t>
      </w:r>
      <w:r w:rsidRPr="00B07A19">
        <w:rPr>
          <w:rStyle w:val="Strong"/>
        </w:rPr>
        <w:t>rosecution</w:t>
      </w:r>
      <w:r>
        <w:rPr>
          <w:rStyle w:val="Strong"/>
          <w:b w:val="0"/>
        </w:rPr>
        <w:t xml:space="preserve"> – the tort of malicious prosecution occurs when the defendant improperly causes the plaintiff to be prosecuted</w:t>
      </w:r>
    </w:p>
    <w:p w:rsidR="00B07A19" w:rsidRDefault="00B07A19" w:rsidP="00B07A19">
      <w:pPr>
        <w:pStyle w:val="NoSpacing"/>
        <w:rPr>
          <w:rStyle w:val="Strong"/>
          <w:b w:val="0"/>
        </w:rPr>
      </w:pPr>
    </w:p>
    <w:p w:rsidR="00B07A19" w:rsidRDefault="00B07A19" w:rsidP="00B07A19">
      <w:pPr>
        <w:pStyle w:val="NoSpacing"/>
        <w:numPr>
          <w:ilvl w:val="0"/>
          <w:numId w:val="6"/>
        </w:numPr>
        <w:rPr>
          <w:rStyle w:val="Strong"/>
          <w:b w:val="0"/>
        </w:rPr>
      </w:pPr>
      <w:r>
        <w:rPr>
          <w:rStyle w:val="Strong"/>
          <w:b w:val="0"/>
        </w:rPr>
        <w:t>A police officer may arrest anyone who is reasonably suspected of</w:t>
      </w:r>
      <w:r>
        <w:rPr>
          <w:rStyle w:val="Strong"/>
          <w:b w:val="0"/>
        </w:rPr>
        <w:tab/>
      </w:r>
    </w:p>
    <w:p w:rsidR="00B07A19" w:rsidRDefault="00B07A19" w:rsidP="00B07A19">
      <w:pPr>
        <w:pStyle w:val="NoSpacing"/>
        <w:numPr>
          <w:ilvl w:val="1"/>
          <w:numId w:val="6"/>
        </w:numPr>
        <w:rPr>
          <w:rStyle w:val="Strong"/>
          <w:b w:val="0"/>
        </w:rPr>
      </w:pPr>
      <w:r>
        <w:rPr>
          <w:rStyle w:val="Strong"/>
          <w:b w:val="0"/>
        </w:rPr>
        <w:t>Being in the act of committing a crime</w:t>
      </w:r>
    </w:p>
    <w:p w:rsidR="00B07A19" w:rsidRPr="00B07A19" w:rsidRDefault="00B07A19" w:rsidP="00B07A19">
      <w:pPr>
        <w:pStyle w:val="NoSpacing"/>
        <w:numPr>
          <w:ilvl w:val="1"/>
          <w:numId w:val="6"/>
        </w:numPr>
        <w:rPr>
          <w:rStyle w:val="Strong"/>
          <w:b w:val="0"/>
        </w:rPr>
      </w:pPr>
      <w:r>
        <w:rPr>
          <w:rStyle w:val="Strong"/>
          <w:b w:val="0"/>
        </w:rPr>
        <w:t>Having committed a serious crime in the part</w:t>
      </w:r>
    </w:p>
    <w:p w:rsidR="00B07A19" w:rsidRDefault="00B07A19" w:rsidP="00B07A19">
      <w:pPr>
        <w:pStyle w:val="NoSpacing"/>
        <w:numPr>
          <w:ilvl w:val="0"/>
          <w:numId w:val="6"/>
        </w:numPr>
        <w:rPr>
          <w:rStyle w:val="Strong"/>
          <w:b w:val="0"/>
        </w:rPr>
      </w:pPr>
      <w:r>
        <w:rPr>
          <w:rStyle w:val="Strong"/>
          <w:b w:val="0"/>
        </w:rPr>
        <w:t>A private citizen is entitled to make an arrest only if a crime is actually be committed by the suspect, if the act that no crime was committed, the arrest is unjustified</w:t>
      </w:r>
    </w:p>
    <w:p w:rsidR="00B07A19" w:rsidRDefault="00B07A19" w:rsidP="00B07A19">
      <w:pPr>
        <w:pStyle w:val="Heading2"/>
        <w:spacing w:line="240" w:lineRule="auto"/>
        <w:rPr>
          <w:rStyle w:val="Strong"/>
          <w:b/>
          <w:bCs/>
        </w:rPr>
      </w:pPr>
      <w:r>
        <w:rPr>
          <w:rStyle w:val="Strong"/>
          <w:b/>
          <w:bCs/>
        </w:rPr>
        <w:t>Trespass to Land</w:t>
      </w:r>
    </w:p>
    <w:p w:rsidR="00B07A19" w:rsidRPr="00B07A19" w:rsidRDefault="00B07A19" w:rsidP="00B07A19">
      <w:r w:rsidRPr="00B07A19">
        <w:rPr>
          <w:b/>
        </w:rPr>
        <w:t>Trespass to Land</w:t>
      </w:r>
      <w:r>
        <w:t xml:space="preserve"> – the tort of trespass to land occurs when the defendant improperly interferes with the plaintiff’s land</w:t>
      </w:r>
    </w:p>
    <w:tbl>
      <w:tblPr>
        <w:tblStyle w:val="TableGrid"/>
        <w:tblW w:w="0" w:type="auto"/>
        <w:tblLook w:val="04A0"/>
      </w:tblPr>
      <w:tblGrid>
        <w:gridCol w:w="2268"/>
        <w:gridCol w:w="3780"/>
        <w:gridCol w:w="4968"/>
      </w:tblGrid>
      <w:tr w:rsidR="00B07A19" w:rsidTr="00C57938">
        <w:tc>
          <w:tcPr>
            <w:tcW w:w="2268" w:type="dxa"/>
          </w:tcPr>
          <w:p w:rsidR="00B07A19" w:rsidRPr="00C57938" w:rsidRDefault="00B07A19" w:rsidP="00C57938">
            <w:pPr>
              <w:pStyle w:val="NoSpacing"/>
              <w:jc w:val="center"/>
              <w:rPr>
                <w:rStyle w:val="Strong"/>
              </w:rPr>
            </w:pPr>
            <w:r w:rsidRPr="00C57938">
              <w:rPr>
                <w:rStyle w:val="Strong"/>
              </w:rPr>
              <w:t>Tort</w:t>
            </w:r>
          </w:p>
        </w:tc>
        <w:tc>
          <w:tcPr>
            <w:tcW w:w="3780" w:type="dxa"/>
          </w:tcPr>
          <w:p w:rsidR="00B07A19" w:rsidRPr="00C57938" w:rsidRDefault="00B07A19" w:rsidP="00C57938">
            <w:pPr>
              <w:pStyle w:val="NoSpacing"/>
              <w:jc w:val="center"/>
              <w:rPr>
                <w:rStyle w:val="Strong"/>
              </w:rPr>
            </w:pPr>
            <w:r w:rsidRPr="00C57938">
              <w:rPr>
                <w:rStyle w:val="Strong"/>
              </w:rPr>
              <w:t>Protected Interest</w:t>
            </w:r>
          </w:p>
        </w:tc>
        <w:tc>
          <w:tcPr>
            <w:tcW w:w="4968" w:type="dxa"/>
          </w:tcPr>
          <w:p w:rsidR="00B07A19" w:rsidRPr="00C57938" w:rsidRDefault="00B07A19" w:rsidP="00C57938">
            <w:pPr>
              <w:pStyle w:val="NoSpacing"/>
              <w:jc w:val="center"/>
              <w:rPr>
                <w:rStyle w:val="Strong"/>
              </w:rPr>
            </w:pPr>
            <w:r w:rsidRPr="00C57938">
              <w:rPr>
                <w:rStyle w:val="Strong"/>
              </w:rPr>
              <w:t>Elements of Proof</w:t>
            </w:r>
          </w:p>
        </w:tc>
      </w:tr>
      <w:tr w:rsidR="00B07A19" w:rsidTr="00C57938">
        <w:tc>
          <w:tcPr>
            <w:tcW w:w="2268" w:type="dxa"/>
          </w:tcPr>
          <w:p w:rsidR="00B07A19" w:rsidRDefault="00B07A19" w:rsidP="00B07A19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Assault</w:t>
            </w:r>
          </w:p>
        </w:tc>
        <w:tc>
          <w:tcPr>
            <w:tcW w:w="3780" w:type="dxa"/>
          </w:tcPr>
          <w:p w:rsidR="00B07A19" w:rsidRDefault="00B07A19" w:rsidP="00B07A19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Freedom from fear of offensive bodily contact</w:t>
            </w:r>
          </w:p>
        </w:tc>
        <w:tc>
          <w:tcPr>
            <w:tcW w:w="4968" w:type="dxa"/>
          </w:tcPr>
          <w:p w:rsidR="00B07A19" w:rsidRDefault="00B07A19" w:rsidP="00C57938">
            <w:pPr>
              <w:pStyle w:val="NoSpacing"/>
              <w:numPr>
                <w:ilvl w:val="0"/>
                <w:numId w:val="7"/>
              </w:num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Intention act</w:t>
            </w:r>
          </w:p>
          <w:p w:rsidR="00B07A19" w:rsidRDefault="00B07A19" w:rsidP="00C57938">
            <w:pPr>
              <w:pStyle w:val="NoSpacing"/>
              <w:numPr>
                <w:ilvl w:val="0"/>
                <w:numId w:val="7"/>
              </w:num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 xml:space="preserve">Causing a reasonable </w:t>
            </w:r>
            <w:r w:rsidR="00C57938">
              <w:rPr>
                <w:rStyle w:val="Strong"/>
                <w:b w:val="0"/>
              </w:rPr>
              <w:t>belief</w:t>
            </w:r>
            <w:r>
              <w:rPr>
                <w:rStyle w:val="Strong"/>
                <w:b w:val="0"/>
              </w:rPr>
              <w:t xml:space="preserve"> that offensive bodily contact is imminent</w:t>
            </w:r>
          </w:p>
        </w:tc>
      </w:tr>
      <w:tr w:rsidR="00B07A19" w:rsidTr="00C57938">
        <w:tc>
          <w:tcPr>
            <w:tcW w:w="2268" w:type="dxa"/>
          </w:tcPr>
          <w:p w:rsidR="00B07A19" w:rsidRDefault="00C57938" w:rsidP="00B07A19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Battery</w:t>
            </w:r>
          </w:p>
        </w:tc>
        <w:tc>
          <w:tcPr>
            <w:tcW w:w="3780" w:type="dxa"/>
          </w:tcPr>
          <w:p w:rsidR="00B07A19" w:rsidRDefault="00C57938" w:rsidP="00B07A19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Freedom from offensive bodily contact</w:t>
            </w:r>
          </w:p>
        </w:tc>
        <w:tc>
          <w:tcPr>
            <w:tcW w:w="4968" w:type="dxa"/>
          </w:tcPr>
          <w:p w:rsidR="00B07A19" w:rsidRDefault="00C57938" w:rsidP="00C57938">
            <w:pPr>
              <w:pStyle w:val="NoSpacing"/>
              <w:numPr>
                <w:ilvl w:val="0"/>
                <w:numId w:val="7"/>
              </w:num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Intentional act</w:t>
            </w:r>
          </w:p>
          <w:p w:rsidR="00C57938" w:rsidRDefault="00C57938" w:rsidP="00C57938">
            <w:pPr>
              <w:pStyle w:val="NoSpacing"/>
              <w:numPr>
                <w:ilvl w:val="0"/>
                <w:numId w:val="7"/>
              </w:num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Causing offensive bodily contact</w:t>
            </w:r>
          </w:p>
        </w:tc>
      </w:tr>
      <w:tr w:rsidR="00B07A19" w:rsidTr="00C57938">
        <w:tc>
          <w:tcPr>
            <w:tcW w:w="2268" w:type="dxa"/>
          </w:tcPr>
          <w:p w:rsidR="00B07A19" w:rsidRDefault="00C57938" w:rsidP="00B07A19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False Imprisonment</w:t>
            </w:r>
          </w:p>
        </w:tc>
        <w:tc>
          <w:tcPr>
            <w:tcW w:w="3780" w:type="dxa"/>
          </w:tcPr>
          <w:p w:rsidR="00B07A19" w:rsidRDefault="00C57938" w:rsidP="00B07A19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Freedom of movement</w:t>
            </w:r>
          </w:p>
        </w:tc>
        <w:tc>
          <w:tcPr>
            <w:tcW w:w="4968" w:type="dxa"/>
          </w:tcPr>
          <w:p w:rsidR="00B07A19" w:rsidRDefault="00C57938" w:rsidP="00C57938">
            <w:pPr>
              <w:pStyle w:val="NoSpacing"/>
              <w:numPr>
                <w:ilvl w:val="0"/>
                <w:numId w:val="7"/>
              </w:num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Intentional act</w:t>
            </w:r>
          </w:p>
          <w:p w:rsidR="00C57938" w:rsidRDefault="00C57938" w:rsidP="00C57938">
            <w:pPr>
              <w:pStyle w:val="NoSpacing"/>
              <w:numPr>
                <w:ilvl w:val="0"/>
                <w:numId w:val="7"/>
              </w:num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Involving physical or psychological forces</w:t>
            </w:r>
          </w:p>
          <w:p w:rsidR="00C57938" w:rsidRDefault="00C57938" w:rsidP="00C57938">
            <w:pPr>
              <w:pStyle w:val="NoSpacing"/>
              <w:numPr>
                <w:ilvl w:val="0"/>
                <w:numId w:val="7"/>
              </w:num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Causing person to be confined within fixed area without justification</w:t>
            </w:r>
          </w:p>
        </w:tc>
      </w:tr>
      <w:tr w:rsidR="00B07A19" w:rsidTr="00C57938">
        <w:tc>
          <w:tcPr>
            <w:tcW w:w="2268" w:type="dxa"/>
          </w:tcPr>
          <w:p w:rsidR="00B07A19" w:rsidRDefault="00C57938" w:rsidP="00B07A19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Malicious Prosecution</w:t>
            </w:r>
          </w:p>
        </w:tc>
        <w:tc>
          <w:tcPr>
            <w:tcW w:w="3780" w:type="dxa"/>
          </w:tcPr>
          <w:p w:rsidR="00B07A19" w:rsidRDefault="00C57938" w:rsidP="00B07A19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Freedom from improper prosecution</w:t>
            </w:r>
          </w:p>
        </w:tc>
        <w:tc>
          <w:tcPr>
            <w:tcW w:w="4968" w:type="dxa"/>
          </w:tcPr>
          <w:p w:rsidR="00B07A19" w:rsidRDefault="00C57938" w:rsidP="00C57938">
            <w:pPr>
              <w:pStyle w:val="NoSpacing"/>
              <w:numPr>
                <w:ilvl w:val="0"/>
                <w:numId w:val="7"/>
              </w:num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 xml:space="preserve">Criminal proceeding commenced for malicious or improper </w:t>
            </w:r>
            <w:proofErr w:type="spellStart"/>
            <w:r>
              <w:rPr>
                <w:rStyle w:val="Strong"/>
                <w:b w:val="0"/>
              </w:rPr>
              <w:t>pur</w:t>
            </w:r>
            <w:proofErr w:type="spellEnd"/>
            <w:r>
              <w:rPr>
                <w:rStyle w:val="Strong"/>
                <w:b w:val="0"/>
              </w:rPr>
              <w:t xml:space="preserve"> pose, without honest belief on reasonable grounds that crime was committed</w:t>
            </w:r>
          </w:p>
          <w:p w:rsidR="00C57938" w:rsidRDefault="00C57938" w:rsidP="00C57938">
            <w:pPr>
              <w:pStyle w:val="NoSpacing"/>
              <w:numPr>
                <w:ilvl w:val="0"/>
                <w:numId w:val="7"/>
              </w:num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Resulting in acquittal of accused</w:t>
            </w:r>
          </w:p>
        </w:tc>
      </w:tr>
      <w:tr w:rsidR="00B07A19" w:rsidTr="00C57938">
        <w:tc>
          <w:tcPr>
            <w:tcW w:w="2268" w:type="dxa"/>
          </w:tcPr>
          <w:p w:rsidR="00B07A19" w:rsidRDefault="00C57938" w:rsidP="00B07A19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Trespass to Land</w:t>
            </w:r>
          </w:p>
        </w:tc>
        <w:tc>
          <w:tcPr>
            <w:tcW w:w="3780" w:type="dxa"/>
          </w:tcPr>
          <w:p w:rsidR="00B07A19" w:rsidRDefault="00C57938" w:rsidP="00B07A19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 xml:space="preserve"> Right to exclude trespassers from Land</w:t>
            </w:r>
          </w:p>
        </w:tc>
        <w:tc>
          <w:tcPr>
            <w:tcW w:w="4968" w:type="dxa"/>
          </w:tcPr>
          <w:p w:rsidR="00B07A19" w:rsidRDefault="00C57938" w:rsidP="00C57938">
            <w:pPr>
              <w:pStyle w:val="NoSpacing"/>
              <w:numPr>
                <w:ilvl w:val="0"/>
                <w:numId w:val="7"/>
              </w:num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Intentional Act</w:t>
            </w:r>
          </w:p>
          <w:p w:rsidR="00C57938" w:rsidRDefault="00C57938" w:rsidP="00C57938">
            <w:pPr>
              <w:pStyle w:val="NoSpacing"/>
              <w:numPr>
                <w:ilvl w:val="0"/>
                <w:numId w:val="7"/>
              </w:num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Causing person or object to interfere with land</w:t>
            </w:r>
          </w:p>
        </w:tc>
      </w:tr>
    </w:tbl>
    <w:p w:rsidR="00C57938" w:rsidRDefault="00C57938" w:rsidP="00C57938">
      <w:pPr>
        <w:pStyle w:val="Heading2"/>
        <w:spacing w:line="240" w:lineRule="auto"/>
        <w:rPr>
          <w:rStyle w:val="Strong"/>
          <w:b/>
          <w:bCs/>
        </w:rPr>
      </w:pPr>
      <w:r>
        <w:rPr>
          <w:rStyle w:val="Strong"/>
          <w:b/>
          <w:bCs/>
        </w:rPr>
        <w:lastRenderedPageBreak/>
        <w:t>Interference with Chattels</w:t>
      </w:r>
    </w:p>
    <w:p w:rsidR="00C57938" w:rsidRDefault="00C57938" w:rsidP="009C3E7F">
      <w:pPr>
        <w:spacing w:after="0" w:line="240" w:lineRule="auto"/>
      </w:pPr>
      <w:r w:rsidRPr="009C3E7F">
        <w:rPr>
          <w:b/>
        </w:rPr>
        <w:t>Chattels</w:t>
      </w:r>
      <w:r>
        <w:t xml:space="preserve"> – are moveable forms of property such as horses, books and cars</w:t>
      </w:r>
    </w:p>
    <w:p w:rsidR="009C3E7F" w:rsidRDefault="009C3E7F" w:rsidP="009C3E7F">
      <w:pPr>
        <w:spacing w:after="0" w:line="240" w:lineRule="auto"/>
      </w:pPr>
      <w:r w:rsidRPr="009C3E7F">
        <w:rPr>
          <w:b/>
        </w:rPr>
        <w:t>Trespass to Chattels</w:t>
      </w:r>
      <w:r>
        <w:t xml:space="preserve"> – the tort of trespass to chattels occurs when the defendant interferes with chattels in the plaintiff’s possession</w:t>
      </w:r>
    </w:p>
    <w:p w:rsidR="009C3E7F" w:rsidRDefault="009C3E7F" w:rsidP="009C3E7F">
      <w:pPr>
        <w:spacing w:after="0" w:line="240" w:lineRule="auto"/>
      </w:pPr>
      <w:r w:rsidRPr="009C3E7F">
        <w:rPr>
          <w:b/>
        </w:rPr>
        <w:t>Conversion</w:t>
      </w:r>
      <w:r>
        <w:t xml:space="preserve"> – the tort of conversion occurs when the defendant interferes with the plaintiff’s chattels in a way that is serious enough to justify a forced sale</w:t>
      </w:r>
    </w:p>
    <w:p w:rsidR="00F92972" w:rsidRDefault="00F92972" w:rsidP="00F92972">
      <w:pPr>
        <w:pStyle w:val="ListParagraph"/>
        <w:numPr>
          <w:ilvl w:val="0"/>
          <w:numId w:val="6"/>
        </w:numPr>
        <w:spacing w:after="0" w:line="240" w:lineRule="auto"/>
      </w:pPr>
      <w:r>
        <w:t>The courts will look at</w:t>
      </w:r>
    </w:p>
    <w:p w:rsidR="00F92972" w:rsidRDefault="00F92972" w:rsidP="00F92972">
      <w:pPr>
        <w:pStyle w:val="ListParagraph"/>
        <w:numPr>
          <w:ilvl w:val="1"/>
          <w:numId w:val="6"/>
        </w:numPr>
        <w:spacing w:after="0" w:line="240" w:lineRule="auto"/>
      </w:pPr>
      <w:r>
        <w:t>The extent to which the defendant exercised ownership or control over the chattel</w:t>
      </w:r>
    </w:p>
    <w:p w:rsidR="00F92972" w:rsidRDefault="00F92972" w:rsidP="00F92972">
      <w:pPr>
        <w:pStyle w:val="ListParagraph"/>
        <w:numPr>
          <w:ilvl w:val="1"/>
          <w:numId w:val="6"/>
        </w:numPr>
        <w:spacing w:after="0" w:line="240" w:lineRule="auto"/>
      </w:pPr>
      <w:r>
        <w:t>The extent to which the defendant intended to assert a right that was inconsistent with the plaintiff’s right to the property</w:t>
      </w:r>
    </w:p>
    <w:p w:rsidR="00F92972" w:rsidRDefault="00F92972" w:rsidP="00F92972">
      <w:pPr>
        <w:pStyle w:val="ListParagraph"/>
        <w:numPr>
          <w:ilvl w:val="1"/>
          <w:numId w:val="6"/>
        </w:numPr>
        <w:spacing w:after="0" w:line="240" w:lineRule="auto"/>
      </w:pPr>
      <w:r>
        <w:t>The duration of the defendant’s interference</w:t>
      </w:r>
    </w:p>
    <w:p w:rsidR="00F92972" w:rsidRDefault="00F92972" w:rsidP="00F92972">
      <w:pPr>
        <w:pStyle w:val="ListParagraph"/>
        <w:numPr>
          <w:ilvl w:val="1"/>
          <w:numId w:val="6"/>
        </w:numPr>
        <w:spacing w:after="0" w:line="240" w:lineRule="auto"/>
      </w:pPr>
      <w:r>
        <w:t>The expense and inconvenience caused to the plaintiff</w:t>
      </w:r>
    </w:p>
    <w:p w:rsidR="00F92972" w:rsidRDefault="00F92972" w:rsidP="00F92972">
      <w:pPr>
        <w:spacing w:after="0" w:line="240" w:lineRule="auto"/>
      </w:pPr>
      <w:r w:rsidRPr="00F92972">
        <w:rPr>
          <w:b/>
        </w:rPr>
        <w:t>Detinue</w:t>
      </w:r>
      <w:r>
        <w:t xml:space="preserve"> – The tort of detinue occurs when the defendant fails to return a chattel that the plaintiff is entitled to possess</w:t>
      </w:r>
    </w:p>
    <w:p w:rsidR="00F92972" w:rsidRDefault="00F92972" w:rsidP="00F92972">
      <w:pPr>
        <w:pStyle w:val="ListParagraph"/>
        <w:numPr>
          <w:ilvl w:val="1"/>
          <w:numId w:val="6"/>
        </w:numPr>
        <w:spacing w:after="0" w:line="240" w:lineRule="auto"/>
      </w:pPr>
      <w:r>
        <w:t>The tort comes to an end as soon as the defendant returns the property to the plaintiff</w:t>
      </w:r>
    </w:p>
    <w:p w:rsidR="00F92972" w:rsidRPr="00C57938" w:rsidRDefault="00F92972" w:rsidP="00F92972">
      <w:pPr>
        <w:pStyle w:val="ListParagraph"/>
        <w:numPr>
          <w:ilvl w:val="1"/>
          <w:numId w:val="6"/>
        </w:numPr>
        <w:spacing w:after="0" w:line="240" w:lineRule="auto"/>
      </w:pPr>
      <w:r>
        <w:t xml:space="preserve">If the property has not been returned by the time of trail, the plaintiff can ask </w:t>
      </w:r>
      <w:proofErr w:type="spellStart"/>
      <w:r>
        <w:t>he</w:t>
      </w:r>
      <w:proofErr w:type="spellEnd"/>
      <w:r>
        <w:t xml:space="preserve"> court to compel the defendant to do so.</w:t>
      </w:r>
    </w:p>
    <w:tbl>
      <w:tblPr>
        <w:tblStyle w:val="TableGrid"/>
        <w:tblW w:w="0" w:type="auto"/>
        <w:tblLook w:val="04A0"/>
      </w:tblPr>
      <w:tblGrid>
        <w:gridCol w:w="3672"/>
        <w:gridCol w:w="3672"/>
        <w:gridCol w:w="3672"/>
      </w:tblGrid>
      <w:tr w:rsidR="00C57938" w:rsidTr="00C57938">
        <w:tc>
          <w:tcPr>
            <w:tcW w:w="3672" w:type="dxa"/>
          </w:tcPr>
          <w:p w:rsidR="00C57938" w:rsidRPr="009C3E7F" w:rsidRDefault="00C57938" w:rsidP="009C3E7F">
            <w:pPr>
              <w:pStyle w:val="NoSpacing"/>
              <w:jc w:val="center"/>
              <w:rPr>
                <w:rStyle w:val="Strong"/>
              </w:rPr>
            </w:pPr>
            <w:r w:rsidRPr="009C3E7F">
              <w:rPr>
                <w:rStyle w:val="Strong"/>
              </w:rPr>
              <w:t>Tort</w:t>
            </w:r>
          </w:p>
        </w:tc>
        <w:tc>
          <w:tcPr>
            <w:tcW w:w="3672" w:type="dxa"/>
          </w:tcPr>
          <w:p w:rsidR="00C57938" w:rsidRPr="009C3E7F" w:rsidRDefault="009C3E7F" w:rsidP="009C3E7F">
            <w:pPr>
              <w:pStyle w:val="NoSpacing"/>
              <w:jc w:val="center"/>
              <w:rPr>
                <w:rStyle w:val="Strong"/>
              </w:rPr>
            </w:pPr>
            <w:r w:rsidRPr="009C3E7F">
              <w:rPr>
                <w:rStyle w:val="Strong"/>
              </w:rPr>
              <w:t>Basis</w:t>
            </w:r>
            <w:r w:rsidR="00C57938" w:rsidRPr="009C3E7F">
              <w:rPr>
                <w:rStyle w:val="Strong"/>
              </w:rPr>
              <w:t xml:space="preserve"> of the Tort</w:t>
            </w:r>
          </w:p>
        </w:tc>
        <w:tc>
          <w:tcPr>
            <w:tcW w:w="3672" w:type="dxa"/>
          </w:tcPr>
          <w:p w:rsidR="00C57938" w:rsidRPr="009C3E7F" w:rsidRDefault="00C57938" w:rsidP="009C3E7F">
            <w:pPr>
              <w:pStyle w:val="NoSpacing"/>
              <w:jc w:val="center"/>
              <w:rPr>
                <w:rStyle w:val="Strong"/>
              </w:rPr>
            </w:pPr>
            <w:r w:rsidRPr="009C3E7F">
              <w:rPr>
                <w:rStyle w:val="Strong"/>
              </w:rPr>
              <w:t>General Remedy</w:t>
            </w:r>
          </w:p>
        </w:tc>
      </w:tr>
      <w:tr w:rsidR="00C57938" w:rsidTr="00C57938">
        <w:tc>
          <w:tcPr>
            <w:tcW w:w="3672" w:type="dxa"/>
          </w:tcPr>
          <w:p w:rsidR="00C57938" w:rsidRDefault="009C3E7F" w:rsidP="00B07A19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Trespass to chattels</w:t>
            </w:r>
          </w:p>
        </w:tc>
        <w:tc>
          <w:tcPr>
            <w:tcW w:w="3672" w:type="dxa"/>
          </w:tcPr>
          <w:p w:rsidR="00C57938" w:rsidRDefault="009C3E7F" w:rsidP="00B07A19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Defendant’s interference with chattels in plaintiff’s possession</w:t>
            </w:r>
          </w:p>
        </w:tc>
        <w:tc>
          <w:tcPr>
            <w:tcW w:w="3672" w:type="dxa"/>
          </w:tcPr>
          <w:p w:rsidR="00C57938" w:rsidRDefault="009C3E7F" w:rsidP="00B07A19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Compensation for loss</w:t>
            </w:r>
          </w:p>
        </w:tc>
      </w:tr>
      <w:tr w:rsidR="00C57938" w:rsidTr="00C57938">
        <w:tc>
          <w:tcPr>
            <w:tcW w:w="3672" w:type="dxa"/>
          </w:tcPr>
          <w:p w:rsidR="00C57938" w:rsidRDefault="009C3E7F" w:rsidP="00B07A19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Conversion</w:t>
            </w:r>
          </w:p>
        </w:tc>
        <w:tc>
          <w:tcPr>
            <w:tcW w:w="3672" w:type="dxa"/>
          </w:tcPr>
          <w:p w:rsidR="00C57938" w:rsidRDefault="009C3E7F" w:rsidP="00B07A19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Defendant’s interference with chattels in plaintiff’s possession – serious enough to justify forced sale</w:t>
            </w:r>
          </w:p>
        </w:tc>
        <w:tc>
          <w:tcPr>
            <w:tcW w:w="3672" w:type="dxa"/>
          </w:tcPr>
          <w:p w:rsidR="00C57938" w:rsidRDefault="009C3E7F" w:rsidP="00B07A19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Forced sale of chattel from plaintiff to defendant</w:t>
            </w:r>
          </w:p>
        </w:tc>
      </w:tr>
      <w:tr w:rsidR="00C57938" w:rsidTr="00C57938">
        <w:tc>
          <w:tcPr>
            <w:tcW w:w="3672" w:type="dxa"/>
          </w:tcPr>
          <w:p w:rsidR="00C57938" w:rsidRDefault="009C3E7F" w:rsidP="00B07A19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Detinue</w:t>
            </w:r>
          </w:p>
        </w:tc>
        <w:tc>
          <w:tcPr>
            <w:tcW w:w="3672" w:type="dxa"/>
          </w:tcPr>
          <w:p w:rsidR="00C57938" w:rsidRDefault="009C3E7F" w:rsidP="00B07A19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Defendant’s failure to return chattels that plaintiff has right to possess</w:t>
            </w:r>
          </w:p>
        </w:tc>
        <w:tc>
          <w:tcPr>
            <w:tcW w:w="3672" w:type="dxa"/>
          </w:tcPr>
          <w:p w:rsidR="00C57938" w:rsidRDefault="009C3E7F" w:rsidP="00B07A19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Compensation for loss or return of chattels</w:t>
            </w:r>
          </w:p>
        </w:tc>
      </w:tr>
    </w:tbl>
    <w:p w:rsidR="00B07A19" w:rsidRDefault="008470EE" w:rsidP="00B07A19">
      <w:pPr>
        <w:pStyle w:val="NoSpacing"/>
        <w:rPr>
          <w:rStyle w:val="Strong"/>
          <w:b w:val="0"/>
        </w:rPr>
      </w:pPr>
      <w:r>
        <w:rPr>
          <w:rStyle w:val="Strong"/>
        </w:rPr>
        <w:t>Recaption</w:t>
      </w:r>
      <w:r>
        <w:rPr>
          <w:rStyle w:val="Strong"/>
          <w:b w:val="0"/>
        </w:rPr>
        <w:t xml:space="preserve"> – the right of </w:t>
      </w:r>
      <w:r w:rsidRPr="008470EE">
        <w:rPr>
          <w:rStyle w:val="Strong"/>
          <w:b w:val="0"/>
        </w:rPr>
        <w:t>recaption</w:t>
      </w:r>
      <w:r>
        <w:rPr>
          <w:rStyle w:val="Strong"/>
          <w:b w:val="0"/>
        </w:rPr>
        <w:t xml:space="preserve"> allows a person to take their own property back, with reasonable force</w:t>
      </w:r>
    </w:p>
    <w:p w:rsidR="008470EE" w:rsidRDefault="008470EE" w:rsidP="008470EE">
      <w:pPr>
        <w:pStyle w:val="Heading2"/>
        <w:spacing w:line="240" w:lineRule="auto"/>
        <w:rPr>
          <w:rStyle w:val="Strong"/>
          <w:b/>
          <w:bCs/>
        </w:rPr>
      </w:pPr>
      <w:r>
        <w:rPr>
          <w:rStyle w:val="Strong"/>
          <w:b/>
          <w:bCs/>
        </w:rPr>
        <w:t>Defenses to Intentional Torts</w:t>
      </w:r>
    </w:p>
    <w:p w:rsidR="008470EE" w:rsidRDefault="008470EE" w:rsidP="00B07A19">
      <w:pPr>
        <w:pStyle w:val="NoSpacing"/>
        <w:rPr>
          <w:rStyle w:val="Strong"/>
          <w:b w:val="0"/>
        </w:rPr>
      </w:pPr>
      <w:r w:rsidRPr="008470EE">
        <w:rPr>
          <w:rStyle w:val="Strong"/>
        </w:rPr>
        <w:t>Complete defense</w:t>
      </w:r>
      <w:r>
        <w:rPr>
          <w:rStyle w:val="Strong"/>
          <w:b w:val="0"/>
        </w:rPr>
        <w:t xml:space="preserve"> – a complete defense protects the tortfeasor from all liability</w:t>
      </w:r>
    </w:p>
    <w:p w:rsidR="008470EE" w:rsidRDefault="008470EE" w:rsidP="008470EE">
      <w:pPr>
        <w:pStyle w:val="NoSpacing"/>
        <w:numPr>
          <w:ilvl w:val="0"/>
          <w:numId w:val="6"/>
        </w:numPr>
        <w:rPr>
          <w:rStyle w:val="Strong"/>
          <w:b w:val="0"/>
        </w:rPr>
      </w:pPr>
      <w:r>
        <w:rPr>
          <w:rStyle w:val="Strong"/>
          <w:b w:val="0"/>
        </w:rPr>
        <w:t>Consent</w:t>
      </w:r>
    </w:p>
    <w:p w:rsidR="008470EE" w:rsidRDefault="008470EE" w:rsidP="008470EE">
      <w:pPr>
        <w:pStyle w:val="NoSpacing"/>
        <w:numPr>
          <w:ilvl w:val="0"/>
          <w:numId w:val="6"/>
        </w:numPr>
        <w:rPr>
          <w:rStyle w:val="Strong"/>
          <w:b w:val="0"/>
        </w:rPr>
      </w:pPr>
      <w:r>
        <w:rPr>
          <w:rStyle w:val="Strong"/>
          <w:b w:val="0"/>
        </w:rPr>
        <w:t>Legal Authority</w:t>
      </w:r>
    </w:p>
    <w:p w:rsidR="008470EE" w:rsidRDefault="008470EE" w:rsidP="008470EE">
      <w:pPr>
        <w:pStyle w:val="NoSpacing"/>
        <w:numPr>
          <w:ilvl w:val="0"/>
          <w:numId w:val="6"/>
        </w:numPr>
        <w:rPr>
          <w:rStyle w:val="Strong"/>
          <w:b w:val="0"/>
        </w:rPr>
      </w:pPr>
      <w:r>
        <w:rPr>
          <w:rStyle w:val="Strong"/>
          <w:b w:val="0"/>
        </w:rPr>
        <w:t>Self-</w:t>
      </w:r>
      <w:r w:rsidRPr="008470EE">
        <w:rPr>
          <w:rStyle w:val="Title"/>
        </w:rPr>
        <w:t xml:space="preserve"> </w:t>
      </w:r>
      <w:proofErr w:type="spellStart"/>
      <w:r w:rsidR="00985242">
        <w:rPr>
          <w:rStyle w:val="Strong"/>
          <w:b w:val="0"/>
        </w:rPr>
        <w:t>defence</w:t>
      </w:r>
      <w:proofErr w:type="spellEnd"/>
    </w:p>
    <w:p w:rsidR="008470EE" w:rsidRDefault="008470EE" w:rsidP="008470EE">
      <w:pPr>
        <w:pStyle w:val="NoSpacing"/>
        <w:numPr>
          <w:ilvl w:val="0"/>
          <w:numId w:val="6"/>
        </w:numPr>
        <w:rPr>
          <w:rStyle w:val="Strong"/>
          <w:b w:val="0"/>
        </w:rPr>
      </w:pPr>
      <w:r>
        <w:rPr>
          <w:rStyle w:val="Strong"/>
          <w:b w:val="0"/>
        </w:rPr>
        <w:t>Necessity</w:t>
      </w:r>
    </w:p>
    <w:p w:rsidR="008470EE" w:rsidRDefault="008470EE" w:rsidP="00B07A19">
      <w:pPr>
        <w:pStyle w:val="NoSpacing"/>
        <w:rPr>
          <w:rStyle w:val="Strong"/>
          <w:b w:val="0"/>
        </w:rPr>
      </w:pPr>
      <w:r w:rsidRPr="008470EE">
        <w:rPr>
          <w:rStyle w:val="Strong"/>
        </w:rPr>
        <w:t>Consent</w:t>
      </w:r>
      <w:r>
        <w:rPr>
          <w:rStyle w:val="Strong"/>
          <w:b w:val="0"/>
        </w:rPr>
        <w:t xml:space="preserve"> – exists is a person voluntarily agrees to experience an interference with their body, land, or goods</w:t>
      </w:r>
    </w:p>
    <w:p w:rsidR="008470EE" w:rsidRDefault="008470EE" w:rsidP="00B07A19">
      <w:pPr>
        <w:pStyle w:val="NoSpacing"/>
        <w:rPr>
          <w:rStyle w:val="Strong"/>
          <w:b w:val="0"/>
        </w:rPr>
      </w:pPr>
      <w:r w:rsidRPr="008470EE">
        <w:rPr>
          <w:rStyle w:val="Strong"/>
        </w:rPr>
        <w:t>Legal Authority</w:t>
      </w:r>
      <w:r>
        <w:rPr>
          <w:rStyle w:val="Strong"/>
          <w:b w:val="0"/>
        </w:rPr>
        <w:t xml:space="preserve"> – provides a person with a lawful right to act in a certain way</w:t>
      </w:r>
    </w:p>
    <w:p w:rsidR="008470EE" w:rsidRDefault="008470EE" w:rsidP="00B07A19">
      <w:pPr>
        <w:pStyle w:val="NoSpacing"/>
        <w:rPr>
          <w:rStyle w:val="Strong"/>
          <w:b w:val="0"/>
        </w:rPr>
      </w:pPr>
      <w:r w:rsidRPr="008470EE">
        <w:rPr>
          <w:rStyle w:val="Strong"/>
        </w:rPr>
        <w:t>Sel</w:t>
      </w:r>
      <w:r>
        <w:rPr>
          <w:rStyle w:val="Strong"/>
        </w:rPr>
        <w:t>f-</w:t>
      </w:r>
      <w:proofErr w:type="spellStart"/>
      <w:r w:rsidR="00985242">
        <w:rPr>
          <w:rStyle w:val="Strong"/>
        </w:rPr>
        <w:t>defence</w:t>
      </w:r>
      <w:proofErr w:type="spellEnd"/>
      <w:r w:rsidR="00985242">
        <w:rPr>
          <w:rStyle w:val="Strong"/>
        </w:rPr>
        <w:t xml:space="preserve"> </w:t>
      </w:r>
      <w:r>
        <w:rPr>
          <w:rStyle w:val="Strong"/>
          <w:b w:val="0"/>
        </w:rPr>
        <w:t>– consists of the right to protect oneself from violence and the threat of violence</w:t>
      </w:r>
    </w:p>
    <w:p w:rsidR="00985242" w:rsidRDefault="00985242" w:rsidP="00B07A19">
      <w:pPr>
        <w:pStyle w:val="NoSpacing"/>
        <w:rPr>
          <w:rStyle w:val="Strong"/>
          <w:b w:val="0"/>
        </w:rPr>
      </w:pPr>
      <w:r w:rsidRPr="00985242">
        <w:rPr>
          <w:rStyle w:val="Strong"/>
        </w:rPr>
        <w:t>Necessity</w:t>
      </w:r>
      <w:r>
        <w:rPr>
          <w:rStyle w:val="Strong"/>
          <w:b w:val="0"/>
        </w:rPr>
        <w:t xml:space="preserve"> – the </w:t>
      </w:r>
      <w:proofErr w:type="spellStart"/>
      <w:r>
        <w:rPr>
          <w:rStyle w:val="Strong"/>
          <w:b w:val="0"/>
        </w:rPr>
        <w:t>defence</w:t>
      </w:r>
      <w:proofErr w:type="spellEnd"/>
      <w:r>
        <w:rPr>
          <w:rStyle w:val="Strong"/>
          <w:b w:val="0"/>
        </w:rPr>
        <w:t xml:space="preserve"> of necessity applies if the defendant act were justified by an emergency</w:t>
      </w:r>
    </w:p>
    <w:p w:rsidR="00985242" w:rsidRDefault="00985242" w:rsidP="00B07A19">
      <w:pPr>
        <w:pStyle w:val="NoSpacing"/>
        <w:rPr>
          <w:rStyle w:val="Strong"/>
          <w:b w:val="0"/>
        </w:rPr>
      </w:pPr>
      <w:r w:rsidRPr="00985242">
        <w:rPr>
          <w:rStyle w:val="Strong"/>
        </w:rPr>
        <w:t>Partial Defence</w:t>
      </w:r>
      <w:r>
        <w:rPr>
          <w:rStyle w:val="Strong"/>
          <w:b w:val="0"/>
        </w:rPr>
        <w:t xml:space="preserve"> – Allows a court to reduce damages on the basis of the plaintiff’s own responsibility for a loss or injury</w:t>
      </w:r>
    </w:p>
    <w:p w:rsidR="00985242" w:rsidRDefault="00985242" w:rsidP="00985242">
      <w:pPr>
        <w:pStyle w:val="NoSpacing"/>
        <w:numPr>
          <w:ilvl w:val="0"/>
          <w:numId w:val="6"/>
        </w:numPr>
        <w:rPr>
          <w:rStyle w:val="Strong"/>
          <w:b w:val="0"/>
        </w:rPr>
      </w:pPr>
      <w:r>
        <w:rPr>
          <w:rStyle w:val="Strong"/>
          <w:b w:val="0"/>
        </w:rPr>
        <w:t>Provision</w:t>
      </w:r>
    </w:p>
    <w:p w:rsidR="00985242" w:rsidRDefault="00985242" w:rsidP="00985242">
      <w:pPr>
        <w:pStyle w:val="NoSpacing"/>
        <w:numPr>
          <w:ilvl w:val="0"/>
          <w:numId w:val="6"/>
        </w:numPr>
        <w:rPr>
          <w:rStyle w:val="Strong"/>
          <w:b w:val="0"/>
        </w:rPr>
      </w:pPr>
      <w:r>
        <w:rPr>
          <w:rStyle w:val="Strong"/>
          <w:b w:val="0"/>
        </w:rPr>
        <w:t>Contributory Negligence</w:t>
      </w:r>
    </w:p>
    <w:p w:rsidR="00985242" w:rsidRDefault="00985242" w:rsidP="00985242">
      <w:pPr>
        <w:pStyle w:val="NoSpacing"/>
        <w:rPr>
          <w:rStyle w:val="Strong"/>
          <w:b w:val="0"/>
        </w:rPr>
      </w:pPr>
      <w:r>
        <w:rPr>
          <w:rStyle w:val="Strong"/>
          <w:b w:val="0"/>
        </w:rPr>
        <w:t>Provocation – consists of words or actions that would cause a reasonable person to lose self-control</w:t>
      </w:r>
    </w:p>
    <w:p w:rsidR="00985242" w:rsidRDefault="00985242" w:rsidP="00985242">
      <w:pPr>
        <w:pStyle w:val="NoSpacing"/>
        <w:rPr>
          <w:rStyle w:val="Strong"/>
          <w:b w:val="0"/>
        </w:rPr>
      </w:pPr>
      <w:r w:rsidRPr="00985242">
        <w:rPr>
          <w:rStyle w:val="Strong"/>
        </w:rPr>
        <w:t>Contributory Negligence</w:t>
      </w:r>
      <w:r>
        <w:rPr>
          <w:rStyle w:val="Strong"/>
          <w:b w:val="0"/>
        </w:rPr>
        <w:t xml:space="preserve"> – Occurs when the plaintiff is partially responsible for the injury that the defendant tortuously caused</w:t>
      </w:r>
    </w:p>
    <w:tbl>
      <w:tblPr>
        <w:tblStyle w:val="TableGrid"/>
        <w:tblW w:w="0" w:type="auto"/>
        <w:tblLook w:val="04A0"/>
      </w:tblPr>
      <w:tblGrid>
        <w:gridCol w:w="3258"/>
        <w:gridCol w:w="7758"/>
      </w:tblGrid>
      <w:tr w:rsidR="00985242" w:rsidTr="00720334">
        <w:tc>
          <w:tcPr>
            <w:tcW w:w="3258" w:type="dxa"/>
          </w:tcPr>
          <w:p w:rsidR="00985242" w:rsidRPr="00985242" w:rsidRDefault="00985242" w:rsidP="00985242">
            <w:pPr>
              <w:pStyle w:val="NoSpacing"/>
              <w:jc w:val="center"/>
              <w:rPr>
                <w:rStyle w:val="Strong"/>
              </w:rPr>
            </w:pPr>
            <w:r w:rsidRPr="00985242">
              <w:rPr>
                <w:rStyle w:val="Strong"/>
              </w:rPr>
              <w:t>Complete</w:t>
            </w:r>
            <w:r w:rsidRPr="00985242">
              <w:rPr>
                <w:rStyle w:val="Title"/>
              </w:rPr>
              <w:t xml:space="preserve"> </w:t>
            </w:r>
            <w:proofErr w:type="spellStart"/>
            <w:r w:rsidRPr="00985242">
              <w:rPr>
                <w:rStyle w:val="Strong"/>
              </w:rPr>
              <w:t>Defences</w:t>
            </w:r>
            <w:proofErr w:type="spellEnd"/>
          </w:p>
        </w:tc>
        <w:tc>
          <w:tcPr>
            <w:tcW w:w="7758" w:type="dxa"/>
          </w:tcPr>
          <w:p w:rsidR="00985242" w:rsidRDefault="00985242" w:rsidP="00985242">
            <w:pPr>
              <w:pStyle w:val="NoSpacing"/>
              <w:rPr>
                <w:rStyle w:val="Strong"/>
                <w:b w:val="0"/>
              </w:rPr>
            </w:pPr>
          </w:p>
        </w:tc>
      </w:tr>
      <w:tr w:rsidR="00985242" w:rsidTr="00720334">
        <w:tc>
          <w:tcPr>
            <w:tcW w:w="3258" w:type="dxa"/>
          </w:tcPr>
          <w:p w:rsidR="00985242" w:rsidRDefault="00985242" w:rsidP="00985242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Consent</w:t>
            </w:r>
          </w:p>
        </w:tc>
        <w:tc>
          <w:tcPr>
            <w:tcW w:w="7758" w:type="dxa"/>
          </w:tcPr>
          <w:p w:rsidR="00985242" w:rsidRDefault="00985242" w:rsidP="00985242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Voluntary choice to allow acts that otherwise would be tortuous</w:t>
            </w:r>
          </w:p>
        </w:tc>
      </w:tr>
      <w:tr w:rsidR="00985242" w:rsidTr="00720334">
        <w:tc>
          <w:tcPr>
            <w:tcW w:w="3258" w:type="dxa"/>
          </w:tcPr>
          <w:p w:rsidR="00985242" w:rsidRDefault="00985242" w:rsidP="00985242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Legal Authority</w:t>
            </w:r>
          </w:p>
        </w:tc>
        <w:tc>
          <w:tcPr>
            <w:tcW w:w="7758" w:type="dxa"/>
          </w:tcPr>
          <w:p w:rsidR="00985242" w:rsidRDefault="00720334" w:rsidP="00985242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Statutory or common law right to perform acts that otherwise would be tortuous</w:t>
            </w:r>
          </w:p>
        </w:tc>
      </w:tr>
      <w:tr w:rsidR="00985242" w:rsidTr="00720334">
        <w:tc>
          <w:tcPr>
            <w:tcW w:w="3258" w:type="dxa"/>
          </w:tcPr>
          <w:p w:rsidR="00985242" w:rsidRDefault="00985242" w:rsidP="00985242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Self-</w:t>
            </w:r>
            <w:proofErr w:type="spellStart"/>
            <w:r>
              <w:rPr>
                <w:rStyle w:val="Strong"/>
                <w:b w:val="0"/>
              </w:rPr>
              <w:t>defence</w:t>
            </w:r>
            <w:proofErr w:type="spellEnd"/>
          </w:p>
        </w:tc>
        <w:tc>
          <w:tcPr>
            <w:tcW w:w="7758" w:type="dxa"/>
          </w:tcPr>
          <w:p w:rsidR="00985242" w:rsidRDefault="00720334" w:rsidP="00720334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Right to protect oneself, or a third party, or perhaps property, from attack by person</w:t>
            </w:r>
          </w:p>
        </w:tc>
      </w:tr>
      <w:tr w:rsidR="00985242" w:rsidTr="00720334">
        <w:tc>
          <w:tcPr>
            <w:tcW w:w="3258" w:type="dxa"/>
          </w:tcPr>
          <w:p w:rsidR="00985242" w:rsidRDefault="00985242" w:rsidP="00985242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Necessity</w:t>
            </w:r>
          </w:p>
        </w:tc>
        <w:tc>
          <w:tcPr>
            <w:tcW w:w="7758" w:type="dxa"/>
          </w:tcPr>
          <w:p w:rsidR="00985242" w:rsidRDefault="00720334" w:rsidP="00985242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Right to protect oneself, or a third party, or perhaps property, from natural disaster or general threat</w:t>
            </w:r>
          </w:p>
        </w:tc>
      </w:tr>
      <w:tr w:rsidR="00985242" w:rsidTr="00720334">
        <w:tc>
          <w:tcPr>
            <w:tcW w:w="3258" w:type="dxa"/>
          </w:tcPr>
          <w:p w:rsidR="00985242" w:rsidRPr="00985242" w:rsidRDefault="00985242" w:rsidP="00985242">
            <w:pPr>
              <w:pStyle w:val="NoSpacing"/>
              <w:jc w:val="center"/>
              <w:rPr>
                <w:rStyle w:val="Strong"/>
              </w:rPr>
            </w:pPr>
            <w:r w:rsidRPr="00985242">
              <w:rPr>
                <w:rStyle w:val="Strong"/>
              </w:rPr>
              <w:t xml:space="preserve">Partial </w:t>
            </w:r>
            <w:proofErr w:type="spellStart"/>
            <w:r w:rsidRPr="00985242">
              <w:rPr>
                <w:rStyle w:val="Strong"/>
              </w:rPr>
              <w:t>Defences</w:t>
            </w:r>
            <w:proofErr w:type="spellEnd"/>
          </w:p>
        </w:tc>
        <w:tc>
          <w:tcPr>
            <w:tcW w:w="7758" w:type="dxa"/>
          </w:tcPr>
          <w:p w:rsidR="00985242" w:rsidRDefault="00985242" w:rsidP="00985242">
            <w:pPr>
              <w:pStyle w:val="NoSpacing"/>
              <w:rPr>
                <w:rStyle w:val="Strong"/>
                <w:b w:val="0"/>
              </w:rPr>
            </w:pPr>
          </w:p>
        </w:tc>
      </w:tr>
      <w:tr w:rsidR="00985242" w:rsidTr="00720334">
        <w:tc>
          <w:tcPr>
            <w:tcW w:w="3258" w:type="dxa"/>
          </w:tcPr>
          <w:p w:rsidR="00985242" w:rsidRDefault="00985242" w:rsidP="00985242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Provocation</w:t>
            </w:r>
          </w:p>
        </w:tc>
        <w:tc>
          <w:tcPr>
            <w:tcW w:w="7758" w:type="dxa"/>
          </w:tcPr>
          <w:p w:rsidR="00985242" w:rsidRDefault="00720334" w:rsidP="00985242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Words or actions that cause a reasonable person to lose self-control</w:t>
            </w:r>
          </w:p>
        </w:tc>
      </w:tr>
      <w:tr w:rsidR="00985242" w:rsidTr="00720334">
        <w:tc>
          <w:tcPr>
            <w:tcW w:w="3258" w:type="dxa"/>
          </w:tcPr>
          <w:p w:rsidR="00985242" w:rsidRDefault="00985242" w:rsidP="00985242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Contributory Negligence</w:t>
            </w:r>
          </w:p>
        </w:tc>
        <w:tc>
          <w:tcPr>
            <w:tcW w:w="7758" w:type="dxa"/>
          </w:tcPr>
          <w:p w:rsidR="00985242" w:rsidRDefault="00720334" w:rsidP="00720334">
            <w:pPr>
              <w:pStyle w:val="NoSpacing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 xml:space="preserve">Plaintiff is partially responsible for the injury that the defendant </w:t>
            </w:r>
            <w:proofErr w:type="spellStart"/>
            <w:r>
              <w:rPr>
                <w:rStyle w:val="Strong"/>
                <w:b w:val="0"/>
              </w:rPr>
              <w:t>tortiously</w:t>
            </w:r>
            <w:proofErr w:type="spellEnd"/>
            <w:r>
              <w:rPr>
                <w:rStyle w:val="Strong"/>
                <w:b w:val="0"/>
              </w:rPr>
              <w:t xml:space="preserve"> caused</w:t>
            </w:r>
          </w:p>
        </w:tc>
      </w:tr>
    </w:tbl>
    <w:p w:rsidR="00985242" w:rsidRPr="00787CB2" w:rsidRDefault="00985242" w:rsidP="00720334">
      <w:pPr>
        <w:pStyle w:val="NoSpacing"/>
        <w:rPr>
          <w:rStyle w:val="Strong"/>
          <w:b w:val="0"/>
        </w:rPr>
      </w:pPr>
    </w:p>
    <w:sectPr w:rsidR="00985242" w:rsidRPr="00787CB2" w:rsidSect="00627941">
      <w:pgSz w:w="12240" w:h="15840"/>
      <w:pgMar w:top="720" w:right="720" w:bottom="720" w:left="720" w:header="432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45E" w:rsidRDefault="00F6745E" w:rsidP="00627941">
      <w:pPr>
        <w:spacing w:after="0" w:line="240" w:lineRule="auto"/>
      </w:pPr>
      <w:r>
        <w:separator/>
      </w:r>
    </w:p>
  </w:endnote>
  <w:endnote w:type="continuationSeparator" w:id="0">
    <w:p w:rsidR="00F6745E" w:rsidRDefault="00F6745E" w:rsidP="00627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45E" w:rsidRDefault="00F6745E" w:rsidP="00627941">
      <w:pPr>
        <w:spacing w:after="0" w:line="240" w:lineRule="auto"/>
      </w:pPr>
      <w:r>
        <w:separator/>
      </w:r>
    </w:p>
  </w:footnote>
  <w:footnote w:type="continuationSeparator" w:id="0">
    <w:p w:rsidR="00F6745E" w:rsidRDefault="00F6745E" w:rsidP="006279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868DC"/>
    <w:multiLevelType w:val="hybridMultilevel"/>
    <w:tmpl w:val="00808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630ED0"/>
    <w:multiLevelType w:val="hybridMultilevel"/>
    <w:tmpl w:val="0832B3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374424"/>
    <w:multiLevelType w:val="hybridMultilevel"/>
    <w:tmpl w:val="CDCA4BE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4383C43"/>
    <w:multiLevelType w:val="hybridMultilevel"/>
    <w:tmpl w:val="30221188"/>
    <w:lvl w:ilvl="0" w:tplc="04090011">
      <w:start w:val="1"/>
      <w:numFmt w:val="decimal"/>
      <w:lvlText w:val="%1)"/>
      <w:lvlJc w:val="left"/>
      <w:pPr>
        <w:ind w:left="1449" w:hanging="360"/>
      </w:pPr>
    </w:lvl>
    <w:lvl w:ilvl="1" w:tplc="04090019" w:tentative="1">
      <w:start w:val="1"/>
      <w:numFmt w:val="lowerLetter"/>
      <w:lvlText w:val="%2."/>
      <w:lvlJc w:val="left"/>
      <w:pPr>
        <w:ind w:left="2169" w:hanging="360"/>
      </w:pPr>
    </w:lvl>
    <w:lvl w:ilvl="2" w:tplc="0409001B" w:tentative="1">
      <w:start w:val="1"/>
      <w:numFmt w:val="lowerRoman"/>
      <w:lvlText w:val="%3."/>
      <w:lvlJc w:val="right"/>
      <w:pPr>
        <w:ind w:left="2889" w:hanging="180"/>
      </w:pPr>
    </w:lvl>
    <w:lvl w:ilvl="3" w:tplc="0409000F" w:tentative="1">
      <w:start w:val="1"/>
      <w:numFmt w:val="decimal"/>
      <w:lvlText w:val="%4."/>
      <w:lvlJc w:val="left"/>
      <w:pPr>
        <w:ind w:left="3609" w:hanging="360"/>
      </w:pPr>
    </w:lvl>
    <w:lvl w:ilvl="4" w:tplc="04090019" w:tentative="1">
      <w:start w:val="1"/>
      <w:numFmt w:val="lowerLetter"/>
      <w:lvlText w:val="%5."/>
      <w:lvlJc w:val="left"/>
      <w:pPr>
        <w:ind w:left="4329" w:hanging="360"/>
      </w:pPr>
    </w:lvl>
    <w:lvl w:ilvl="5" w:tplc="0409001B" w:tentative="1">
      <w:start w:val="1"/>
      <w:numFmt w:val="lowerRoman"/>
      <w:lvlText w:val="%6."/>
      <w:lvlJc w:val="right"/>
      <w:pPr>
        <w:ind w:left="5049" w:hanging="180"/>
      </w:pPr>
    </w:lvl>
    <w:lvl w:ilvl="6" w:tplc="0409000F" w:tentative="1">
      <w:start w:val="1"/>
      <w:numFmt w:val="decimal"/>
      <w:lvlText w:val="%7."/>
      <w:lvlJc w:val="left"/>
      <w:pPr>
        <w:ind w:left="5769" w:hanging="360"/>
      </w:pPr>
    </w:lvl>
    <w:lvl w:ilvl="7" w:tplc="04090019" w:tentative="1">
      <w:start w:val="1"/>
      <w:numFmt w:val="lowerLetter"/>
      <w:lvlText w:val="%8."/>
      <w:lvlJc w:val="left"/>
      <w:pPr>
        <w:ind w:left="6489" w:hanging="360"/>
      </w:pPr>
    </w:lvl>
    <w:lvl w:ilvl="8" w:tplc="0409001B" w:tentative="1">
      <w:start w:val="1"/>
      <w:numFmt w:val="lowerRoman"/>
      <w:lvlText w:val="%9."/>
      <w:lvlJc w:val="right"/>
      <w:pPr>
        <w:ind w:left="7209" w:hanging="180"/>
      </w:pPr>
    </w:lvl>
  </w:abstractNum>
  <w:abstractNum w:abstractNumId="4">
    <w:nsid w:val="5B3663B8"/>
    <w:multiLevelType w:val="hybridMultilevel"/>
    <w:tmpl w:val="C77A3BCE"/>
    <w:lvl w:ilvl="0" w:tplc="B600AB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EA78E8"/>
    <w:multiLevelType w:val="hybridMultilevel"/>
    <w:tmpl w:val="4DAAFC32"/>
    <w:lvl w:ilvl="0" w:tplc="F4CE3D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8970F1"/>
    <w:multiLevelType w:val="hybridMultilevel"/>
    <w:tmpl w:val="561A9FF2"/>
    <w:lvl w:ilvl="0" w:tplc="04090011">
      <w:start w:val="1"/>
      <w:numFmt w:val="decimal"/>
      <w:lvlText w:val="%1)"/>
      <w:lvlJc w:val="left"/>
      <w:pPr>
        <w:ind w:left="1449" w:hanging="360"/>
      </w:pPr>
    </w:lvl>
    <w:lvl w:ilvl="1" w:tplc="04090019" w:tentative="1">
      <w:start w:val="1"/>
      <w:numFmt w:val="lowerLetter"/>
      <w:lvlText w:val="%2."/>
      <w:lvlJc w:val="left"/>
      <w:pPr>
        <w:ind w:left="2169" w:hanging="360"/>
      </w:pPr>
    </w:lvl>
    <w:lvl w:ilvl="2" w:tplc="0409001B" w:tentative="1">
      <w:start w:val="1"/>
      <w:numFmt w:val="lowerRoman"/>
      <w:lvlText w:val="%3."/>
      <w:lvlJc w:val="right"/>
      <w:pPr>
        <w:ind w:left="2889" w:hanging="180"/>
      </w:pPr>
    </w:lvl>
    <w:lvl w:ilvl="3" w:tplc="0409000F" w:tentative="1">
      <w:start w:val="1"/>
      <w:numFmt w:val="decimal"/>
      <w:lvlText w:val="%4."/>
      <w:lvlJc w:val="left"/>
      <w:pPr>
        <w:ind w:left="3609" w:hanging="360"/>
      </w:pPr>
    </w:lvl>
    <w:lvl w:ilvl="4" w:tplc="04090019" w:tentative="1">
      <w:start w:val="1"/>
      <w:numFmt w:val="lowerLetter"/>
      <w:lvlText w:val="%5."/>
      <w:lvlJc w:val="left"/>
      <w:pPr>
        <w:ind w:left="4329" w:hanging="360"/>
      </w:pPr>
    </w:lvl>
    <w:lvl w:ilvl="5" w:tplc="0409001B" w:tentative="1">
      <w:start w:val="1"/>
      <w:numFmt w:val="lowerRoman"/>
      <w:lvlText w:val="%6."/>
      <w:lvlJc w:val="right"/>
      <w:pPr>
        <w:ind w:left="5049" w:hanging="180"/>
      </w:pPr>
    </w:lvl>
    <w:lvl w:ilvl="6" w:tplc="0409000F" w:tentative="1">
      <w:start w:val="1"/>
      <w:numFmt w:val="decimal"/>
      <w:lvlText w:val="%7."/>
      <w:lvlJc w:val="left"/>
      <w:pPr>
        <w:ind w:left="5769" w:hanging="360"/>
      </w:pPr>
    </w:lvl>
    <w:lvl w:ilvl="7" w:tplc="04090019" w:tentative="1">
      <w:start w:val="1"/>
      <w:numFmt w:val="lowerLetter"/>
      <w:lvlText w:val="%8."/>
      <w:lvlJc w:val="left"/>
      <w:pPr>
        <w:ind w:left="6489" w:hanging="360"/>
      </w:pPr>
    </w:lvl>
    <w:lvl w:ilvl="8" w:tplc="0409001B" w:tentative="1">
      <w:start w:val="1"/>
      <w:numFmt w:val="lowerRoman"/>
      <w:lvlText w:val="%9."/>
      <w:lvlJc w:val="right"/>
      <w:pPr>
        <w:ind w:left="720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627941"/>
    <w:rsid w:val="00013537"/>
    <w:rsid w:val="000624F5"/>
    <w:rsid w:val="00563E92"/>
    <w:rsid w:val="00627941"/>
    <w:rsid w:val="00720334"/>
    <w:rsid w:val="00787CB2"/>
    <w:rsid w:val="008470EE"/>
    <w:rsid w:val="00985242"/>
    <w:rsid w:val="009C3E7F"/>
    <w:rsid w:val="00AB5BE8"/>
    <w:rsid w:val="00B07A19"/>
    <w:rsid w:val="00C32C55"/>
    <w:rsid w:val="00C57938"/>
    <w:rsid w:val="00E0451A"/>
    <w:rsid w:val="00F6745E"/>
    <w:rsid w:val="00F92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BE8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45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2794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1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7941"/>
    <w:rPr>
      <w:rFonts w:asciiTheme="majorHAnsi" w:eastAsiaTheme="majorEastAsia" w:hAnsiTheme="majorHAnsi" w:cstheme="majorBidi"/>
      <w:color w:val="000000" w:themeColor="text1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semiHidden/>
    <w:unhideWhenUsed/>
    <w:rsid w:val="006279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27941"/>
  </w:style>
  <w:style w:type="paragraph" w:styleId="Footer">
    <w:name w:val="footer"/>
    <w:basedOn w:val="Normal"/>
    <w:link w:val="FooterChar"/>
    <w:uiPriority w:val="99"/>
    <w:semiHidden/>
    <w:unhideWhenUsed/>
    <w:rsid w:val="006279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27941"/>
  </w:style>
  <w:style w:type="paragraph" w:styleId="NoSpacing">
    <w:name w:val="No Spacing"/>
    <w:uiPriority w:val="1"/>
    <w:qFormat/>
    <w:rsid w:val="0062794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62794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E045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B07A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29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</dc:creator>
  <cp:lastModifiedBy>Anthony</cp:lastModifiedBy>
  <cp:revision>2</cp:revision>
  <dcterms:created xsi:type="dcterms:W3CDTF">2012-09-27T20:16:00Z</dcterms:created>
  <dcterms:modified xsi:type="dcterms:W3CDTF">2012-09-28T01:35:00Z</dcterms:modified>
</cp:coreProperties>
</file>