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r>
        <w:rPr>
          <w:rFonts w:ascii="Times New Roman" w:hAnsi="Times New Roman" w:cs="Times New Roman"/>
          <w:sz w:val="24"/>
          <w:szCs w:val="24"/>
        </w:rPr>
        <w:t>LAWS 2502V: Law State Citizen Term Essay</w:t>
      </w:r>
    </w:p>
    <w:p w:rsidR="00D3043E" w:rsidRDefault="00D3043E" w:rsidP="00D3043E">
      <w:pPr>
        <w:jc w:val="center"/>
        <w:rPr>
          <w:rFonts w:ascii="Times New Roman" w:hAnsi="Times New Roman" w:cs="Times New Roman"/>
          <w:sz w:val="24"/>
          <w:szCs w:val="24"/>
        </w:rPr>
      </w:pPr>
      <w:r>
        <w:rPr>
          <w:rFonts w:ascii="Times New Roman" w:hAnsi="Times New Roman" w:cs="Times New Roman"/>
          <w:sz w:val="24"/>
          <w:szCs w:val="24"/>
        </w:rPr>
        <w:t xml:space="preserve">Sofia </w:t>
      </w:r>
      <w:proofErr w:type="spellStart"/>
      <w:r>
        <w:rPr>
          <w:rFonts w:ascii="Times New Roman" w:hAnsi="Times New Roman" w:cs="Times New Roman"/>
          <w:sz w:val="24"/>
          <w:szCs w:val="24"/>
        </w:rPr>
        <w:t>Muktar</w:t>
      </w:r>
      <w:proofErr w:type="spellEnd"/>
    </w:p>
    <w:p w:rsidR="00D3043E" w:rsidRDefault="00D3043E" w:rsidP="00D3043E">
      <w:pPr>
        <w:jc w:val="center"/>
        <w:rPr>
          <w:rFonts w:ascii="Times New Roman" w:hAnsi="Times New Roman" w:cs="Times New Roman"/>
          <w:sz w:val="24"/>
          <w:szCs w:val="24"/>
        </w:rPr>
      </w:pPr>
      <w:r>
        <w:rPr>
          <w:rFonts w:ascii="Times New Roman" w:hAnsi="Times New Roman" w:cs="Times New Roman"/>
          <w:sz w:val="24"/>
          <w:szCs w:val="24"/>
        </w:rPr>
        <w:t>100768864</w:t>
      </w:r>
    </w:p>
    <w:p w:rsidR="00D3043E" w:rsidRDefault="00D3043E" w:rsidP="00D3043E">
      <w:pPr>
        <w:jc w:val="center"/>
        <w:rPr>
          <w:rFonts w:ascii="Times New Roman" w:hAnsi="Times New Roman" w:cs="Times New Roman"/>
          <w:sz w:val="24"/>
          <w:szCs w:val="24"/>
        </w:rPr>
      </w:pPr>
      <w:r>
        <w:rPr>
          <w:rFonts w:ascii="Times New Roman" w:hAnsi="Times New Roman" w:cs="Times New Roman"/>
          <w:sz w:val="24"/>
          <w:szCs w:val="24"/>
        </w:rPr>
        <w:t xml:space="preserve">Professor: Nikola </w:t>
      </w:r>
      <w:proofErr w:type="spellStart"/>
      <w:r>
        <w:rPr>
          <w:rFonts w:ascii="Times New Roman" w:hAnsi="Times New Roman" w:cs="Times New Roman"/>
          <w:sz w:val="24"/>
          <w:szCs w:val="24"/>
        </w:rPr>
        <w:t>Milanovic</w:t>
      </w:r>
      <w:proofErr w:type="spellEnd"/>
    </w:p>
    <w:p w:rsidR="00D3043E" w:rsidRDefault="00D3043E" w:rsidP="00D3043E">
      <w:pPr>
        <w:jc w:val="center"/>
        <w:rPr>
          <w:rFonts w:ascii="Times New Roman" w:hAnsi="Times New Roman" w:cs="Times New Roman"/>
          <w:sz w:val="24"/>
          <w:szCs w:val="24"/>
        </w:rPr>
      </w:pPr>
      <w:r>
        <w:rPr>
          <w:rFonts w:ascii="Times New Roman" w:hAnsi="Times New Roman" w:cs="Times New Roman"/>
          <w:sz w:val="24"/>
          <w:szCs w:val="24"/>
        </w:rPr>
        <w:t>Due Date: August 15</w:t>
      </w:r>
      <w:r w:rsidRPr="006564F5">
        <w:rPr>
          <w:rFonts w:ascii="Times New Roman" w:hAnsi="Times New Roman" w:cs="Times New Roman"/>
          <w:sz w:val="24"/>
          <w:szCs w:val="24"/>
          <w:vertAlign w:val="superscript"/>
        </w:rPr>
        <w:t>th</w:t>
      </w:r>
      <w:r>
        <w:rPr>
          <w:rFonts w:ascii="Times New Roman" w:hAnsi="Times New Roman" w:cs="Times New Roman"/>
          <w:sz w:val="24"/>
          <w:szCs w:val="24"/>
        </w:rPr>
        <w:t xml:space="preserve"> 2011</w:t>
      </w: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D3043E" w:rsidRDefault="00D3043E" w:rsidP="00D3043E">
      <w:pPr>
        <w:jc w:val="center"/>
        <w:rPr>
          <w:rFonts w:ascii="Times New Roman" w:hAnsi="Times New Roman" w:cs="Times New Roman"/>
          <w:sz w:val="24"/>
          <w:szCs w:val="24"/>
        </w:rPr>
      </w:pPr>
    </w:p>
    <w:p w:rsidR="00E76C00" w:rsidRDefault="00E322B9" w:rsidP="00AE61FB">
      <w:pPr>
        <w:spacing w:line="480" w:lineRule="auto"/>
        <w:rPr>
          <w:rFonts w:ascii="Times New Roman" w:hAnsi="Times New Roman" w:cs="Times New Roman"/>
          <w:sz w:val="24"/>
          <w:szCs w:val="24"/>
        </w:rPr>
      </w:pPr>
      <w:r>
        <w:rPr>
          <w:rFonts w:ascii="Times New Roman" w:hAnsi="Times New Roman" w:cs="Times New Roman"/>
          <w:b/>
          <w:sz w:val="24"/>
          <w:szCs w:val="24"/>
        </w:rPr>
        <w:lastRenderedPageBreak/>
        <w:t xml:space="preserve">Introduction </w:t>
      </w:r>
    </w:p>
    <w:p w:rsidR="00E96626" w:rsidRDefault="00B32365" w:rsidP="00C55E81">
      <w:pPr>
        <w:spacing w:line="480" w:lineRule="auto"/>
        <w:ind w:firstLine="720"/>
        <w:rPr>
          <w:rFonts w:ascii="Times New Roman" w:hAnsi="Times New Roman" w:cs="Times New Roman"/>
          <w:i/>
          <w:sz w:val="24"/>
          <w:szCs w:val="24"/>
        </w:rPr>
      </w:pPr>
      <w:r w:rsidRPr="00FD5CD8">
        <w:rPr>
          <w:rFonts w:ascii="Times New Roman" w:hAnsi="Times New Roman" w:cs="Times New Roman"/>
          <w:sz w:val="24"/>
          <w:szCs w:val="24"/>
        </w:rPr>
        <w:t xml:space="preserve">Agricultural workers </w:t>
      </w:r>
      <w:r w:rsidR="002079C2" w:rsidRPr="00FD5CD8">
        <w:rPr>
          <w:rFonts w:ascii="Times New Roman" w:hAnsi="Times New Roman" w:cs="Times New Roman"/>
          <w:sz w:val="24"/>
          <w:szCs w:val="24"/>
        </w:rPr>
        <w:t xml:space="preserve">are deprived of and isolated from the </w:t>
      </w:r>
      <w:r w:rsidR="00E5381D" w:rsidRPr="00FD5CD8">
        <w:rPr>
          <w:rFonts w:ascii="Times New Roman" w:hAnsi="Times New Roman" w:cs="Times New Roman"/>
          <w:sz w:val="24"/>
          <w:szCs w:val="24"/>
        </w:rPr>
        <w:t xml:space="preserve">statutory </w:t>
      </w:r>
      <w:r w:rsidR="002079C2" w:rsidRPr="00FD5CD8">
        <w:rPr>
          <w:rFonts w:ascii="Times New Roman" w:hAnsi="Times New Roman" w:cs="Times New Roman"/>
          <w:sz w:val="24"/>
          <w:szCs w:val="24"/>
        </w:rPr>
        <w:t>protection acts made available to all other working sectors.</w:t>
      </w:r>
      <w:r w:rsidR="0036008C" w:rsidRPr="00FD5CD8">
        <w:rPr>
          <w:rStyle w:val="FootnoteReference"/>
          <w:rFonts w:ascii="Times New Roman" w:hAnsi="Times New Roman" w:cs="Times New Roman"/>
          <w:sz w:val="24"/>
          <w:szCs w:val="24"/>
        </w:rPr>
        <w:t xml:space="preserve"> </w:t>
      </w:r>
      <w:r w:rsidR="0036008C" w:rsidRPr="00FD5CD8">
        <w:rPr>
          <w:rStyle w:val="FootnoteReference"/>
          <w:rFonts w:ascii="Times New Roman" w:hAnsi="Times New Roman" w:cs="Times New Roman"/>
          <w:sz w:val="24"/>
          <w:szCs w:val="24"/>
        </w:rPr>
        <w:footnoteReference w:id="1"/>
      </w:r>
      <w:r w:rsidR="002079C2" w:rsidRPr="00FD5CD8">
        <w:rPr>
          <w:rFonts w:ascii="Times New Roman" w:hAnsi="Times New Roman" w:cs="Times New Roman"/>
          <w:sz w:val="24"/>
          <w:szCs w:val="24"/>
        </w:rPr>
        <w:t xml:space="preserve"> </w:t>
      </w:r>
      <w:r w:rsidR="00955322" w:rsidRPr="00FD5CD8">
        <w:rPr>
          <w:rFonts w:ascii="Times New Roman" w:hAnsi="Times New Roman" w:cs="Times New Roman"/>
          <w:sz w:val="24"/>
          <w:szCs w:val="24"/>
        </w:rPr>
        <w:t xml:space="preserve">This exclusion has resulted in questionable </w:t>
      </w:r>
      <w:r w:rsidR="00D64C24" w:rsidRPr="00FD5CD8">
        <w:rPr>
          <w:rFonts w:ascii="Times New Roman" w:hAnsi="Times New Roman" w:cs="Times New Roman"/>
          <w:sz w:val="24"/>
          <w:szCs w:val="24"/>
        </w:rPr>
        <w:t xml:space="preserve">legal </w:t>
      </w:r>
      <w:r w:rsidR="00E5381D" w:rsidRPr="00FD5CD8">
        <w:rPr>
          <w:rFonts w:ascii="Times New Roman" w:hAnsi="Times New Roman" w:cs="Times New Roman"/>
          <w:sz w:val="24"/>
          <w:szCs w:val="24"/>
        </w:rPr>
        <w:t>implementations by the state</w:t>
      </w:r>
      <w:r w:rsidR="00264EAF" w:rsidRPr="00FD5CD8">
        <w:rPr>
          <w:rFonts w:ascii="Times New Roman" w:hAnsi="Times New Roman" w:cs="Times New Roman"/>
          <w:sz w:val="24"/>
          <w:szCs w:val="24"/>
        </w:rPr>
        <w:t xml:space="preserve"> </w:t>
      </w:r>
      <w:r w:rsidR="0036008C" w:rsidRPr="00FD5CD8">
        <w:rPr>
          <w:rFonts w:ascii="Times New Roman" w:hAnsi="Times New Roman" w:cs="Times New Roman"/>
          <w:sz w:val="24"/>
          <w:szCs w:val="24"/>
        </w:rPr>
        <w:t xml:space="preserve">or lack thereof </w:t>
      </w:r>
      <w:r w:rsidR="00264EAF" w:rsidRPr="00FD5CD8">
        <w:rPr>
          <w:rFonts w:ascii="Times New Roman" w:hAnsi="Times New Roman" w:cs="Times New Roman"/>
          <w:sz w:val="24"/>
          <w:szCs w:val="24"/>
        </w:rPr>
        <w:t>in terms of the constitutions</w:t>
      </w:r>
      <w:r w:rsidR="00E5381D" w:rsidRPr="00FD5CD8">
        <w:rPr>
          <w:rFonts w:ascii="Times New Roman" w:hAnsi="Times New Roman" w:cs="Times New Roman"/>
          <w:sz w:val="24"/>
          <w:szCs w:val="24"/>
        </w:rPr>
        <w:t>’</w:t>
      </w:r>
      <w:r w:rsidR="00264EAF" w:rsidRPr="00FD5CD8">
        <w:rPr>
          <w:rFonts w:ascii="Times New Roman" w:hAnsi="Times New Roman" w:cs="Times New Roman"/>
          <w:sz w:val="24"/>
          <w:szCs w:val="24"/>
        </w:rPr>
        <w:t xml:space="preserve"> contents</w:t>
      </w:r>
      <w:r w:rsidR="00955322" w:rsidRPr="00FD5CD8">
        <w:rPr>
          <w:rFonts w:ascii="Times New Roman" w:hAnsi="Times New Roman" w:cs="Times New Roman"/>
          <w:sz w:val="24"/>
          <w:szCs w:val="24"/>
        </w:rPr>
        <w:t xml:space="preserve"> </w:t>
      </w:r>
      <w:r w:rsidR="0036008C" w:rsidRPr="00FD5CD8">
        <w:rPr>
          <w:rFonts w:ascii="Times New Roman" w:hAnsi="Times New Roman" w:cs="Times New Roman"/>
          <w:sz w:val="24"/>
          <w:szCs w:val="24"/>
        </w:rPr>
        <w:t>with regards to agricultural workers. The issue</w:t>
      </w:r>
      <w:r w:rsidR="00264EAF" w:rsidRPr="00FD5CD8">
        <w:rPr>
          <w:rFonts w:ascii="Times New Roman" w:hAnsi="Times New Roman" w:cs="Times New Roman"/>
          <w:sz w:val="24"/>
          <w:szCs w:val="24"/>
        </w:rPr>
        <w:t xml:space="preserve"> </w:t>
      </w:r>
      <w:r w:rsidR="00955322" w:rsidRPr="00FD5CD8">
        <w:rPr>
          <w:rFonts w:ascii="Times New Roman" w:hAnsi="Times New Roman" w:cs="Times New Roman"/>
          <w:sz w:val="24"/>
          <w:szCs w:val="24"/>
        </w:rPr>
        <w:t xml:space="preserve">in the case of </w:t>
      </w:r>
      <w:proofErr w:type="spellStart"/>
      <w:r w:rsidR="00955322" w:rsidRPr="00FD5CD8">
        <w:rPr>
          <w:rStyle w:val="apple-style-span"/>
          <w:rFonts w:ascii="Times New Roman" w:hAnsi="Times New Roman" w:cs="Times New Roman"/>
          <w:bCs/>
          <w:i/>
          <w:color w:val="000000"/>
          <w:sz w:val="24"/>
          <w:szCs w:val="24"/>
          <w:shd w:val="clear" w:color="auto" w:fill="FFFFFF"/>
        </w:rPr>
        <w:t>Ont</w:t>
      </w:r>
      <w:proofErr w:type="spellEnd"/>
      <w:r w:rsidR="00955322" w:rsidRPr="00FD5CD8">
        <w:rPr>
          <w:rStyle w:val="apple-style-span"/>
          <w:rFonts w:ascii="Times New Roman" w:hAnsi="Times New Roman" w:cs="Times New Roman"/>
          <w:bCs/>
          <w:i/>
          <w:color w:val="000000"/>
          <w:sz w:val="24"/>
          <w:szCs w:val="24"/>
          <w:shd w:val="clear" w:color="auto" w:fill="FFFFFF"/>
        </w:rPr>
        <w:t xml:space="preserve"> v. Fraser.2011scc2</w:t>
      </w:r>
      <w:r w:rsidR="0036008C" w:rsidRPr="00FD5CD8">
        <w:rPr>
          <w:rStyle w:val="apple-style-span"/>
          <w:rFonts w:ascii="Times New Roman" w:hAnsi="Times New Roman" w:cs="Times New Roman"/>
          <w:bCs/>
          <w:i/>
          <w:color w:val="000000"/>
          <w:sz w:val="24"/>
          <w:szCs w:val="24"/>
          <w:shd w:val="clear" w:color="auto" w:fill="FFFFFF"/>
        </w:rPr>
        <w:t>0</w:t>
      </w:r>
      <w:r w:rsidR="002E2358" w:rsidRPr="00FD5CD8">
        <w:rPr>
          <w:rFonts w:ascii="Times New Roman" w:hAnsi="Times New Roman" w:cs="Times New Roman"/>
          <w:sz w:val="24"/>
          <w:szCs w:val="24"/>
        </w:rPr>
        <w:t xml:space="preserve"> </w:t>
      </w:r>
      <w:r w:rsidR="0036008C" w:rsidRPr="00FD5CD8">
        <w:rPr>
          <w:rFonts w:ascii="Times New Roman" w:hAnsi="Times New Roman" w:cs="Times New Roman"/>
          <w:sz w:val="24"/>
          <w:szCs w:val="24"/>
        </w:rPr>
        <w:t xml:space="preserve">is rooted by </w:t>
      </w:r>
      <w:r w:rsidR="002E2358" w:rsidRPr="00FD5CD8">
        <w:rPr>
          <w:rFonts w:ascii="Times New Roman" w:hAnsi="Times New Roman" w:cs="Times New Roman"/>
          <w:sz w:val="24"/>
          <w:szCs w:val="24"/>
        </w:rPr>
        <w:t xml:space="preserve">the </w:t>
      </w:r>
      <w:r w:rsidR="00F71C81" w:rsidRPr="00FD5CD8">
        <w:rPr>
          <w:rFonts w:ascii="Times New Roman" w:hAnsi="Times New Roman" w:cs="Times New Roman"/>
          <w:sz w:val="24"/>
          <w:szCs w:val="24"/>
        </w:rPr>
        <w:t xml:space="preserve">presumed </w:t>
      </w:r>
      <w:r w:rsidR="004E4E85" w:rsidRPr="00FD5CD8">
        <w:rPr>
          <w:rFonts w:ascii="Times New Roman" w:hAnsi="Times New Roman" w:cs="Times New Roman"/>
          <w:sz w:val="24"/>
          <w:szCs w:val="24"/>
        </w:rPr>
        <w:t xml:space="preserve">unjust </w:t>
      </w:r>
      <w:r w:rsidR="002E2358" w:rsidRPr="00FD5CD8">
        <w:rPr>
          <w:rFonts w:ascii="Times New Roman" w:hAnsi="Times New Roman" w:cs="Times New Roman"/>
          <w:sz w:val="24"/>
          <w:szCs w:val="24"/>
        </w:rPr>
        <w:t xml:space="preserve">treatment </w:t>
      </w:r>
      <w:r w:rsidR="00F71C81" w:rsidRPr="00FD5CD8">
        <w:rPr>
          <w:rFonts w:ascii="Times New Roman" w:hAnsi="Times New Roman" w:cs="Times New Roman"/>
          <w:sz w:val="24"/>
          <w:szCs w:val="24"/>
        </w:rPr>
        <w:t>through</w:t>
      </w:r>
      <w:r w:rsidR="00C53281" w:rsidRPr="00FD5CD8">
        <w:rPr>
          <w:rFonts w:ascii="Times New Roman" w:hAnsi="Times New Roman" w:cs="Times New Roman"/>
          <w:sz w:val="24"/>
          <w:szCs w:val="24"/>
        </w:rPr>
        <w:t xml:space="preserve"> breach of </w:t>
      </w:r>
      <w:r w:rsidR="00F71C81" w:rsidRPr="00FD5CD8">
        <w:rPr>
          <w:rFonts w:ascii="Times New Roman" w:hAnsi="Times New Roman" w:cs="Times New Roman"/>
          <w:sz w:val="24"/>
          <w:szCs w:val="24"/>
        </w:rPr>
        <w:t xml:space="preserve">the </w:t>
      </w:r>
      <w:proofErr w:type="spellStart"/>
      <w:r w:rsidR="00F71C81" w:rsidRPr="00FD5CD8">
        <w:rPr>
          <w:rFonts w:ascii="Times New Roman" w:hAnsi="Times New Roman" w:cs="Times New Roman"/>
          <w:sz w:val="24"/>
          <w:szCs w:val="24"/>
        </w:rPr>
        <w:t>farmworkers</w:t>
      </w:r>
      <w:proofErr w:type="spellEnd"/>
      <w:r w:rsidR="00F71C81" w:rsidRPr="00FD5CD8">
        <w:rPr>
          <w:rFonts w:ascii="Times New Roman" w:hAnsi="Times New Roman" w:cs="Times New Roman"/>
          <w:sz w:val="24"/>
          <w:szCs w:val="24"/>
        </w:rPr>
        <w:t xml:space="preserve">’ </w:t>
      </w:r>
      <w:r w:rsidR="00C53281" w:rsidRPr="00FD5CD8">
        <w:rPr>
          <w:rFonts w:ascii="Times New Roman" w:hAnsi="Times New Roman" w:cs="Times New Roman"/>
          <w:sz w:val="24"/>
          <w:szCs w:val="24"/>
        </w:rPr>
        <w:t>constitutional rights</w:t>
      </w:r>
      <w:r w:rsidR="00F71C81" w:rsidRPr="00FD5CD8">
        <w:rPr>
          <w:rFonts w:ascii="Times New Roman" w:hAnsi="Times New Roman" w:cs="Times New Roman"/>
          <w:sz w:val="24"/>
          <w:szCs w:val="24"/>
        </w:rPr>
        <w:t>.</w:t>
      </w:r>
      <w:r w:rsidR="004E4E85" w:rsidRPr="00FD5CD8">
        <w:rPr>
          <w:rFonts w:ascii="Times New Roman" w:hAnsi="Times New Roman" w:cs="Times New Roman"/>
          <w:sz w:val="24"/>
          <w:szCs w:val="24"/>
        </w:rPr>
        <w:t xml:space="preserve"> </w:t>
      </w:r>
      <w:r w:rsidR="002E2358" w:rsidRPr="00FD5CD8">
        <w:rPr>
          <w:rFonts w:ascii="Times New Roman" w:hAnsi="Times New Roman" w:cs="Times New Roman"/>
          <w:sz w:val="24"/>
          <w:szCs w:val="24"/>
        </w:rPr>
        <w:t xml:space="preserve">One year after the </w:t>
      </w:r>
      <w:r w:rsidR="002E2358" w:rsidRPr="00FD5CD8">
        <w:rPr>
          <w:rFonts w:ascii="Times New Roman" w:hAnsi="Times New Roman" w:cs="Times New Roman"/>
          <w:i/>
          <w:sz w:val="24"/>
          <w:szCs w:val="24"/>
        </w:rPr>
        <w:t xml:space="preserve">Agricultural </w:t>
      </w:r>
      <w:proofErr w:type="spellStart"/>
      <w:r w:rsidR="002E2358" w:rsidRPr="00FD5CD8">
        <w:rPr>
          <w:rFonts w:ascii="Times New Roman" w:hAnsi="Times New Roman" w:cs="Times New Roman"/>
          <w:i/>
          <w:sz w:val="24"/>
          <w:szCs w:val="24"/>
        </w:rPr>
        <w:t>Labour</w:t>
      </w:r>
      <w:proofErr w:type="spellEnd"/>
      <w:r w:rsidR="002E2358" w:rsidRPr="00FD5CD8">
        <w:rPr>
          <w:rFonts w:ascii="Times New Roman" w:hAnsi="Times New Roman" w:cs="Times New Roman"/>
          <w:i/>
          <w:sz w:val="24"/>
          <w:szCs w:val="24"/>
        </w:rPr>
        <w:t xml:space="preserve"> Relations Act </w:t>
      </w:r>
      <w:r w:rsidR="002E2358" w:rsidRPr="00FD5CD8">
        <w:rPr>
          <w:rFonts w:ascii="Times New Roman" w:hAnsi="Times New Roman" w:cs="Times New Roman"/>
          <w:sz w:val="24"/>
          <w:szCs w:val="24"/>
        </w:rPr>
        <w:t xml:space="preserve">was formed in 1994 </w:t>
      </w:r>
      <w:r w:rsidR="004E4E85" w:rsidRPr="00FD5CD8">
        <w:rPr>
          <w:rFonts w:ascii="Times New Roman" w:hAnsi="Times New Roman" w:cs="Times New Roman"/>
          <w:sz w:val="24"/>
          <w:szCs w:val="24"/>
        </w:rPr>
        <w:t xml:space="preserve">their collective bargaining rights </w:t>
      </w:r>
      <w:r w:rsidR="002E2358" w:rsidRPr="00FD5CD8">
        <w:rPr>
          <w:rFonts w:ascii="Times New Roman" w:hAnsi="Times New Roman" w:cs="Times New Roman"/>
          <w:sz w:val="24"/>
          <w:szCs w:val="24"/>
        </w:rPr>
        <w:t xml:space="preserve">are </w:t>
      </w:r>
      <w:r w:rsidR="004E4E85" w:rsidRPr="00FD5CD8">
        <w:rPr>
          <w:rFonts w:ascii="Times New Roman" w:hAnsi="Times New Roman" w:cs="Times New Roman"/>
          <w:sz w:val="24"/>
          <w:szCs w:val="24"/>
        </w:rPr>
        <w:t xml:space="preserve">revoked by </w:t>
      </w:r>
      <w:r w:rsidR="002E2358" w:rsidRPr="00FD5CD8">
        <w:rPr>
          <w:rFonts w:ascii="Times New Roman" w:hAnsi="Times New Roman" w:cs="Times New Roman"/>
          <w:sz w:val="24"/>
          <w:szCs w:val="24"/>
        </w:rPr>
        <w:t>the incoming government which</w:t>
      </w:r>
      <w:r w:rsidR="004E4E85" w:rsidRPr="00FD5CD8">
        <w:rPr>
          <w:rFonts w:ascii="Times New Roman" w:hAnsi="Times New Roman" w:cs="Times New Roman"/>
          <w:sz w:val="24"/>
          <w:szCs w:val="24"/>
        </w:rPr>
        <w:t xml:space="preserve"> </w:t>
      </w:r>
      <w:r w:rsidR="002E2358" w:rsidRPr="00FD5CD8">
        <w:rPr>
          <w:rFonts w:ascii="Times New Roman" w:hAnsi="Times New Roman" w:cs="Times New Roman"/>
          <w:sz w:val="24"/>
          <w:szCs w:val="24"/>
        </w:rPr>
        <w:t xml:space="preserve">adversely </w:t>
      </w:r>
      <w:r w:rsidR="004E4E85" w:rsidRPr="00FD5CD8">
        <w:rPr>
          <w:rFonts w:ascii="Times New Roman" w:hAnsi="Times New Roman" w:cs="Times New Roman"/>
          <w:sz w:val="24"/>
          <w:szCs w:val="24"/>
        </w:rPr>
        <w:t>lessened the legitimacy of their associational freedoms.</w:t>
      </w:r>
      <w:r w:rsidR="004E4E85" w:rsidRPr="00FD5CD8">
        <w:rPr>
          <w:rStyle w:val="FootnoteReference"/>
          <w:rFonts w:ascii="Times New Roman" w:hAnsi="Times New Roman" w:cs="Times New Roman"/>
          <w:sz w:val="24"/>
          <w:szCs w:val="24"/>
        </w:rPr>
        <w:footnoteReference w:id="2"/>
      </w:r>
      <w:r w:rsidR="004E4E85" w:rsidRPr="00FD5CD8">
        <w:rPr>
          <w:rFonts w:ascii="Times New Roman" w:hAnsi="Times New Roman" w:cs="Times New Roman"/>
          <w:sz w:val="24"/>
          <w:szCs w:val="24"/>
        </w:rPr>
        <w:t xml:space="preserve"> </w:t>
      </w:r>
      <w:r w:rsidR="002E2358" w:rsidRPr="00FD5CD8">
        <w:rPr>
          <w:rFonts w:ascii="Times New Roman" w:hAnsi="Times New Roman" w:cs="Times New Roman"/>
          <w:sz w:val="24"/>
          <w:szCs w:val="24"/>
        </w:rPr>
        <w:t>This is followed by</w:t>
      </w:r>
      <w:r w:rsidR="004E4E85" w:rsidRPr="00FD5CD8">
        <w:rPr>
          <w:rFonts w:ascii="Times New Roman" w:hAnsi="Times New Roman" w:cs="Times New Roman"/>
          <w:sz w:val="24"/>
          <w:szCs w:val="24"/>
        </w:rPr>
        <w:t xml:space="preserve"> rejection of legitimate recognition under the </w:t>
      </w:r>
      <w:r w:rsidR="00E96626" w:rsidRPr="00FD5CD8">
        <w:rPr>
          <w:rFonts w:ascii="Times New Roman" w:hAnsi="Times New Roman" w:cs="Times New Roman"/>
          <w:i/>
          <w:sz w:val="24"/>
          <w:szCs w:val="24"/>
        </w:rPr>
        <w:t xml:space="preserve">Ontario </w:t>
      </w:r>
      <w:proofErr w:type="spellStart"/>
      <w:r w:rsidR="00E96626" w:rsidRPr="00FD5CD8">
        <w:rPr>
          <w:rFonts w:ascii="Times New Roman" w:hAnsi="Times New Roman" w:cs="Times New Roman"/>
          <w:i/>
          <w:sz w:val="24"/>
          <w:szCs w:val="24"/>
        </w:rPr>
        <w:t>Labour</w:t>
      </w:r>
      <w:proofErr w:type="spellEnd"/>
      <w:r w:rsidR="00E96626" w:rsidRPr="00FD5CD8">
        <w:rPr>
          <w:rFonts w:ascii="Times New Roman" w:hAnsi="Times New Roman" w:cs="Times New Roman"/>
          <w:i/>
          <w:sz w:val="24"/>
          <w:szCs w:val="24"/>
        </w:rPr>
        <w:t xml:space="preserve"> Relations Act</w:t>
      </w:r>
      <w:r w:rsidR="00046603" w:rsidRPr="00FD5CD8">
        <w:rPr>
          <w:rFonts w:ascii="Times New Roman" w:hAnsi="Times New Roman" w:cs="Times New Roman"/>
          <w:i/>
          <w:sz w:val="24"/>
          <w:szCs w:val="24"/>
        </w:rPr>
        <w:t xml:space="preserve"> </w:t>
      </w:r>
      <w:r w:rsidR="00E96626" w:rsidRPr="00FD5CD8">
        <w:rPr>
          <w:rFonts w:ascii="Times New Roman" w:hAnsi="Times New Roman" w:cs="Times New Roman"/>
          <w:sz w:val="24"/>
          <w:szCs w:val="24"/>
        </w:rPr>
        <w:t>leaves</w:t>
      </w:r>
      <w:r w:rsidR="00046603" w:rsidRPr="00FD5CD8">
        <w:rPr>
          <w:rFonts w:ascii="Times New Roman" w:hAnsi="Times New Roman" w:cs="Times New Roman"/>
          <w:sz w:val="24"/>
          <w:szCs w:val="24"/>
        </w:rPr>
        <w:t xml:space="preserve"> this group of workers feeling as though their constitutional rights </w:t>
      </w:r>
      <w:r w:rsidR="00E96626" w:rsidRPr="00FD5CD8">
        <w:rPr>
          <w:rFonts w:ascii="Times New Roman" w:hAnsi="Times New Roman" w:cs="Times New Roman"/>
          <w:sz w:val="24"/>
          <w:szCs w:val="24"/>
        </w:rPr>
        <w:t>are</w:t>
      </w:r>
      <w:r w:rsidR="00046603" w:rsidRPr="00FD5CD8">
        <w:rPr>
          <w:rFonts w:ascii="Times New Roman" w:hAnsi="Times New Roman" w:cs="Times New Roman"/>
          <w:sz w:val="24"/>
          <w:szCs w:val="24"/>
        </w:rPr>
        <w:t xml:space="preserve"> not </w:t>
      </w:r>
      <w:r w:rsidR="00E96626" w:rsidRPr="00FD5CD8">
        <w:rPr>
          <w:rFonts w:ascii="Times New Roman" w:hAnsi="Times New Roman" w:cs="Times New Roman"/>
          <w:sz w:val="24"/>
          <w:szCs w:val="24"/>
        </w:rPr>
        <w:t>upheld</w:t>
      </w:r>
      <w:r w:rsidR="0027398A" w:rsidRPr="00FD5CD8">
        <w:rPr>
          <w:rFonts w:ascii="Times New Roman" w:hAnsi="Times New Roman" w:cs="Times New Roman"/>
          <w:sz w:val="24"/>
          <w:szCs w:val="24"/>
        </w:rPr>
        <w:t>, more specifically under section 2(d)</w:t>
      </w:r>
      <w:r w:rsidR="00CB0754" w:rsidRPr="00FD5CD8">
        <w:rPr>
          <w:rFonts w:ascii="Times New Roman" w:hAnsi="Times New Roman" w:cs="Times New Roman"/>
          <w:sz w:val="24"/>
          <w:szCs w:val="24"/>
        </w:rPr>
        <w:t xml:space="preserve"> of the Charter of Rights and Freedoms</w:t>
      </w:r>
      <w:r w:rsidR="00E96626" w:rsidRPr="00FD5CD8">
        <w:rPr>
          <w:rFonts w:ascii="Times New Roman" w:hAnsi="Times New Roman" w:cs="Times New Roman"/>
          <w:i/>
          <w:sz w:val="24"/>
          <w:szCs w:val="24"/>
        </w:rPr>
        <w:t>.</w:t>
      </w:r>
      <w:r w:rsidR="0027398A" w:rsidRPr="00FD5CD8">
        <w:rPr>
          <w:rFonts w:ascii="Times New Roman" w:hAnsi="Times New Roman" w:cs="Times New Roman"/>
          <w:sz w:val="24"/>
          <w:szCs w:val="24"/>
        </w:rPr>
        <w:t xml:space="preserve"> Section 2 “</w:t>
      </w:r>
      <w:r w:rsidR="0027398A" w:rsidRPr="00FD5CD8">
        <w:rPr>
          <w:rStyle w:val="apple-style-span"/>
          <w:rFonts w:ascii="Times New Roman" w:hAnsi="Times New Roman" w:cs="Times New Roman"/>
          <w:color w:val="000000"/>
          <w:sz w:val="24"/>
          <w:szCs w:val="24"/>
          <w:shd w:val="clear" w:color="auto" w:fill="FFFFFF"/>
        </w:rPr>
        <w:t>Everyone has the following fundamental freedoms:”</w:t>
      </w:r>
      <w:r w:rsidR="0027398A" w:rsidRPr="00FD5CD8">
        <w:rPr>
          <w:rFonts w:ascii="Times New Roman" w:hAnsi="Times New Roman" w:cs="Times New Roman"/>
          <w:sz w:val="24"/>
          <w:szCs w:val="24"/>
        </w:rPr>
        <w:t xml:space="preserve"> </w:t>
      </w:r>
      <w:r w:rsidR="0027398A" w:rsidRPr="00FD5CD8">
        <w:rPr>
          <w:rStyle w:val="FootnoteReference"/>
          <w:rFonts w:ascii="Times New Roman" w:hAnsi="Times New Roman" w:cs="Times New Roman"/>
          <w:sz w:val="24"/>
          <w:szCs w:val="24"/>
        </w:rPr>
        <w:footnoteReference w:id="3"/>
      </w:r>
      <w:r w:rsidR="0027398A" w:rsidRPr="00FD5CD8">
        <w:rPr>
          <w:rFonts w:ascii="Times New Roman" w:hAnsi="Times New Roman" w:cs="Times New Roman"/>
          <w:sz w:val="24"/>
          <w:szCs w:val="24"/>
        </w:rPr>
        <w:t xml:space="preserve"> (d) “f</w:t>
      </w:r>
      <w:r w:rsidR="0027398A" w:rsidRPr="00FD5CD8">
        <w:rPr>
          <w:rStyle w:val="apple-style-span"/>
          <w:rFonts w:ascii="Times New Roman" w:hAnsi="Times New Roman" w:cs="Times New Roman"/>
          <w:color w:val="000000"/>
          <w:sz w:val="24"/>
          <w:szCs w:val="24"/>
          <w:shd w:val="clear" w:color="auto" w:fill="FFFFFF"/>
        </w:rPr>
        <w:t>reedom of association.”</w:t>
      </w:r>
      <w:r w:rsidR="0027398A" w:rsidRPr="00FD5CD8">
        <w:rPr>
          <w:rStyle w:val="FootnoteReference"/>
          <w:rFonts w:ascii="Times New Roman" w:hAnsi="Times New Roman" w:cs="Times New Roman"/>
          <w:color w:val="000000"/>
          <w:sz w:val="24"/>
          <w:szCs w:val="24"/>
          <w:shd w:val="clear" w:color="auto" w:fill="FFFFFF"/>
        </w:rPr>
        <w:footnoteReference w:id="4"/>
      </w:r>
      <w:r w:rsidR="0027398A" w:rsidRPr="00FD5CD8">
        <w:rPr>
          <w:rFonts w:ascii="Times New Roman" w:hAnsi="Times New Roman" w:cs="Times New Roman"/>
          <w:sz w:val="24"/>
          <w:szCs w:val="24"/>
        </w:rPr>
        <w:t xml:space="preserve"> of the Charter of Rights and Freedoms states “ entails that groups of people are granted the right to protection, validity of assembly, organization, participation in activities and bargaining power as a recognizable association.</w:t>
      </w:r>
      <w:r w:rsidR="0027398A" w:rsidRPr="00FD5CD8">
        <w:rPr>
          <w:rStyle w:val="FootnoteReference"/>
          <w:rFonts w:ascii="Times New Roman" w:hAnsi="Times New Roman" w:cs="Times New Roman"/>
          <w:sz w:val="24"/>
          <w:szCs w:val="24"/>
        </w:rPr>
        <w:footnoteReference w:id="5"/>
      </w:r>
      <w:r w:rsidR="00C961D7" w:rsidRPr="00FD5CD8">
        <w:rPr>
          <w:rFonts w:ascii="Times New Roman" w:hAnsi="Times New Roman" w:cs="Times New Roman"/>
          <w:sz w:val="24"/>
          <w:szCs w:val="24"/>
        </w:rPr>
        <w:t xml:space="preserve"> </w:t>
      </w:r>
      <w:r w:rsidR="000C153C" w:rsidRPr="00FD5CD8">
        <w:rPr>
          <w:rFonts w:ascii="Times New Roman" w:hAnsi="Times New Roman" w:cs="Times New Roman"/>
          <w:sz w:val="24"/>
          <w:szCs w:val="24"/>
        </w:rPr>
        <w:t>I</w:t>
      </w:r>
      <w:r w:rsidR="006C22C0" w:rsidRPr="00FD5CD8">
        <w:rPr>
          <w:rFonts w:ascii="Times New Roman" w:hAnsi="Times New Roman" w:cs="Times New Roman"/>
          <w:sz w:val="24"/>
          <w:szCs w:val="24"/>
        </w:rPr>
        <w:t xml:space="preserve">n </w:t>
      </w:r>
      <w:r w:rsidR="000C153C" w:rsidRPr="00FD5CD8">
        <w:rPr>
          <w:rFonts w:ascii="Times New Roman" w:hAnsi="Times New Roman" w:cs="Times New Roman"/>
          <w:sz w:val="24"/>
          <w:szCs w:val="24"/>
        </w:rPr>
        <w:t>examining t</w:t>
      </w:r>
      <w:r w:rsidR="006C22C0" w:rsidRPr="00FD5CD8">
        <w:rPr>
          <w:rFonts w:ascii="Times New Roman" w:hAnsi="Times New Roman" w:cs="Times New Roman"/>
          <w:sz w:val="24"/>
          <w:szCs w:val="24"/>
        </w:rPr>
        <w:t>he developments regarding the use of jurisprudence and Charter interpretations using ‘reasonable limits’ provided under section 1</w:t>
      </w:r>
      <w:r w:rsidR="000C153C" w:rsidRPr="00FD5CD8">
        <w:rPr>
          <w:rFonts w:ascii="Times New Roman" w:hAnsi="Times New Roman" w:cs="Times New Roman"/>
          <w:sz w:val="24"/>
          <w:szCs w:val="24"/>
        </w:rPr>
        <w:t xml:space="preserve"> it will help</w:t>
      </w:r>
      <w:r w:rsidR="006C22C0" w:rsidRPr="00FD5CD8">
        <w:rPr>
          <w:rFonts w:ascii="Times New Roman" w:hAnsi="Times New Roman" w:cs="Times New Roman"/>
          <w:sz w:val="24"/>
          <w:szCs w:val="24"/>
        </w:rPr>
        <w:t xml:space="preserve"> </w:t>
      </w:r>
      <w:r w:rsidR="000C153C" w:rsidRPr="00FD5CD8">
        <w:rPr>
          <w:rFonts w:ascii="Times New Roman" w:hAnsi="Times New Roman" w:cs="Times New Roman"/>
          <w:sz w:val="24"/>
          <w:szCs w:val="24"/>
        </w:rPr>
        <w:t>form adequate understanding of each</w:t>
      </w:r>
      <w:r w:rsidR="006C22C0" w:rsidRPr="00FD5CD8">
        <w:rPr>
          <w:rFonts w:ascii="Times New Roman" w:hAnsi="Times New Roman" w:cs="Times New Roman"/>
          <w:sz w:val="24"/>
          <w:szCs w:val="24"/>
        </w:rPr>
        <w:t xml:space="preserve"> outcome </w:t>
      </w:r>
      <w:r w:rsidR="000C153C" w:rsidRPr="00FD5CD8">
        <w:rPr>
          <w:rFonts w:ascii="Times New Roman" w:hAnsi="Times New Roman" w:cs="Times New Roman"/>
          <w:sz w:val="24"/>
          <w:szCs w:val="24"/>
        </w:rPr>
        <w:t>in the p</w:t>
      </w:r>
      <w:r w:rsidR="006C22C0" w:rsidRPr="00FD5CD8">
        <w:rPr>
          <w:rFonts w:ascii="Times New Roman" w:hAnsi="Times New Roman" w:cs="Times New Roman"/>
          <w:sz w:val="24"/>
          <w:szCs w:val="24"/>
        </w:rPr>
        <w:t xml:space="preserve">receding </w:t>
      </w:r>
      <w:r w:rsidR="000C153C" w:rsidRPr="00FD5CD8">
        <w:rPr>
          <w:rFonts w:ascii="Times New Roman" w:hAnsi="Times New Roman" w:cs="Times New Roman"/>
          <w:sz w:val="24"/>
          <w:szCs w:val="24"/>
        </w:rPr>
        <w:t>cases,</w:t>
      </w:r>
      <w:r w:rsidR="006C22C0" w:rsidRPr="00FD5CD8">
        <w:rPr>
          <w:rFonts w:ascii="Times New Roman" w:hAnsi="Times New Roman" w:cs="Times New Roman"/>
          <w:sz w:val="24"/>
          <w:szCs w:val="24"/>
        </w:rPr>
        <w:t xml:space="preserve"> influencing the </w:t>
      </w:r>
      <w:proofErr w:type="spellStart"/>
      <w:r w:rsidR="006C22C0" w:rsidRPr="00FD5CD8">
        <w:rPr>
          <w:rFonts w:ascii="Times New Roman" w:hAnsi="Times New Roman" w:cs="Times New Roman"/>
          <w:i/>
          <w:sz w:val="24"/>
          <w:szCs w:val="24"/>
        </w:rPr>
        <w:t>Ont</w:t>
      </w:r>
      <w:proofErr w:type="spellEnd"/>
      <w:r w:rsidR="006C22C0" w:rsidRPr="00FD5CD8">
        <w:rPr>
          <w:rFonts w:ascii="Times New Roman" w:hAnsi="Times New Roman" w:cs="Times New Roman"/>
          <w:i/>
          <w:sz w:val="24"/>
          <w:szCs w:val="24"/>
        </w:rPr>
        <w:t xml:space="preserve"> v. Fraser. </w:t>
      </w:r>
      <w:proofErr w:type="gramStart"/>
      <w:r w:rsidR="006C22C0" w:rsidRPr="00FD5CD8">
        <w:rPr>
          <w:rFonts w:ascii="Times New Roman" w:hAnsi="Times New Roman" w:cs="Times New Roman"/>
          <w:i/>
          <w:sz w:val="24"/>
          <w:szCs w:val="24"/>
        </w:rPr>
        <w:t>2011scc20</w:t>
      </w:r>
      <w:r w:rsidR="000C153C" w:rsidRPr="00FD5CD8">
        <w:rPr>
          <w:rFonts w:ascii="Times New Roman" w:hAnsi="Times New Roman" w:cs="Times New Roman"/>
          <w:sz w:val="24"/>
          <w:szCs w:val="24"/>
        </w:rPr>
        <w:t xml:space="preserve"> </w:t>
      </w:r>
      <w:r w:rsidR="006C22C0" w:rsidRPr="00FD5CD8">
        <w:rPr>
          <w:rFonts w:ascii="Times New Roman" w:hAnsi="Times New Roman" w:cs="Times New Roman"/>
          <w:sz w:val="24"/>
          <w:szCs w:val="24"/>
        </w:rPr>
        <w:t>case</w:t>
      </w:r>
      <w:r w:rsidR="00CE6CF0" w:rsidRPr="00FD5CD8">
        <w:rPr>
          <w:rFonts w:ascii="Times New Roman" w:hAnsi="Times New Roman" w:cs="Times New Roman"/>
          <w:sz w:val="24"/>
          <w:szCs w:val="24"/>
        </w:rPr>
        <w:t>.</w:t>
      </w:r>
      <w:proofErr w:type="gramEnd"/>
      <w:r w:rsidR="00CE6CF0" w:rsidRPr="00FD5CD8">
        <w:rPr>
          <w:rFonts w:ascii="Times New Roman" w:hAnsi="Times New Roman" w:cs="Times New Roman"/>
          <w:sz w:val="24"/>
          <w:szCs w:val="24"/>
        </w:rPr>
        <w:t xml:space="preserve"> This will allow the formation of a knowledgeable opinion on the outcomes</w:t>
      </w:r>
      <w:r w:rsidR="006C22C0" w:rsidRPr="00FD5CD8">
        <w:rPr>
          <w:rFonts w:ascii="Times New Roman" w:hAnsi="Times New Roman" w:cs="Times New Roman"/>
          <w:sz w:val="24"/>
          <w:szCs w:val="24"/>
        </w:rPr>
        <w:t>.</w:t>
      </w:r>
      <w:r w:rsidR="00507049" w:rsidRPr="00FD5CD8">
        <w:rPr>
          <w:rFonts w:ascii="Times New Roman" w:hAnsi="Times New Roman" w:cs="Times New Roman"/>
          <w:sz w:val="24"/>
          <w:szCs w:val="24"/>
        </w:rPr>
        <w:t xml:space="preserve"> </w:t>
      </w:r>
      <w:r w:rsidR="006C22C0" w:rsidRPr="00FD5CD8">
        <w:rPr>
          <w:rFonts w:ascii="Times New Roman" w:hAnsi="Times New Roman" w:cs="Times New Roman"/>
          <w:sz w:val="24"/>
          <w:szCs w:val="24"/>
        </w:rPr>
        <w:t xml:space="preserve">  </w:t>
      </w:r>
      <w:r w:rsidR="0027398A" w:rsidRPr="00FD5CD8">
        <w:rPr>
          <w:rFonts w:ascii="Times New Roman" w:hAnsi="Times New Roman" w:cs="Times New Roman"/>
          <w:sz w:val="24"/>
          <w:szCs w:val="24"/>
        </w:rPr>
        <w:t xml:space="preserve"> </w:t>
      </w:r>
      <w:r w:rsidR="00E96626" w:rsidRPr="00FD5CD8">
        <w:rPr>
          <w:rFonts w:ascii="Times New Roman" w:hAnsi="Times New Roman" w:cs="Times New Roman"/>
          <w:i/>
          <w:sz w:val="24"/>
          <w:szCs w:val="24"/>
        </w:rPr>
        <w:t xml:space="preserve"> </w:t>
      </w:r>
    </w:p>
    <w:p w:rsidR="00386A59" w:rsidRPr="00FD5CD8" w:rsidRDefault="00386A59" w:rsidP="00AE61FB">
      <w:pPr>
        <w:spacing w:line="480" w:lineRule="auto"/>
        <w:rPr>
          <w:rFonts w:ascii="Times New Roman" w:hAnsi="Times New Roman" w:cs="Times New Roman"/>
          <w:i/>
          <w:sz w:val="24"/>
          <w:szCs w:val="24"/>
        </w:rPr>
      </w:pPr>
    </w:p>
    <w:p w:rsidR="00E96626" w:rsidRPr="00FD5CD8" w:rsidRDefault="00E322B9" w:rsidP="00AE61FB">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Dunmore v. Ontario; precedent </w:t>
      </w:r>
    </w:p>
    <w:p w:rsidR="0079076D" w:rsidRPr="00FD5CD8" w:rsidRDefault="002E2358" w:rsidP="00C55E81">
      <w:pPr>
        <w:spacing w:line="480" w:lineRule="auto"/>
        <w:ind w:firstLine="720"/>
        <w:rPr>
          <w:rFonts w:ascii="Times New Roman" w:hAnsi="Times New Roman" w:cs="Times New Roman"/>
          <w:sz w:val="24"/>
          <w:szCs w:val="24"/>
        </w:rPr>
      </w:pPr>
      <w:r w:rsidRPr="00FD5CD8">
        <w:rPr>
          <w:rFonts w:ascii="Times New Roman" w:hAnsi="Times New Roman" w:cs="Times New Roman"/>
          <w:sz w:val="24"/>
          <w:szCs w:val="24"/>
        </w:rPr>
        <w:t xml:space="preserve">After </w:t>
      </w:r>
      <w:r w:rsidR="00D02F96" w:rsidRPr="00FD5CD8">
        <w:rPr>
          <w:rFonts w:ascii="Times New Roman" w:hAnsi="Times New Roman" w:cs="Times New Roman"/>
          <w:sz w:val="24"/>
          <w:szCs w:val="24"/>
        </w:rPr>
        <w:t xml:space="preserve">undergoing what </w:t>
      </w:r>
      <w:r w:rsidR="00563255" w:rsidRPr="00FD5CD8">
        <w:rPr>
          <w:rFonts w:ascii="Times New Roman" w:hAnsi="Times New Roman" w:cs="Times New Roman"/>
          <w:sz w:val="24"/>
          <w:szCs w:val="24"/>
        </w:rPr>
        <w:t>agricultural workers felt</w:t>
      </w:r>
      <w:r w:rsidR="00D02F96" w:rsidRPr="00FD5CD8">
        <w:rPr>
          <w:rFonts w:ascii="Times New Roman" w:hAnsi="Times New Roman" w:cs="Times New Roman"/>
          <w:sz w:val="24"/>
          <w:szCs w:val="24"/>
        </w:rPr>
        <w:t xml:space="preserve"> was unconstitutional treatment by</w:t>
      </w:r>
      <w:r w:rsidR="00A26907" w:rsidRPr="00FD5CD8">
        <w:rPr>
          <w:rFonts w:ascii="Times New Roman" w:hAnsi="Times New Roman" w:cs="Times New Roman"/>
          <w:sz w:val="24"/>
          <w:szCs w:val="24"/>
        </w:rPr>
        <w:t xml:space="preserve"> exclusion from the </w:t>
      </w:r>
      <w:proofErr w:type="spellStart"/>
      <w:r w:rsidR="00A26907" w:rsidRPr="00FD5CD8">
        <w:rPr>
          <w:rFonts w:ascii="Times New Roman" w:hAnsi="Times New Roman" w:cs="Times New Roman"/>
          <w:i/>
          <w:sz w:val="24"/>
          <w:szCs w:val="24"/>
        </w:rPr>
        <w:t>Labour</w:t>
      </w:r>
      <w:proofErr w:type="spellEnd"/>
      <w:r w:rsidR="00A26907" w:rsidRPr="00FD5CD8">
        <w:rPr>
          <w:rFonts w:ascii="Times New Roman" w:hAnsi="Times New Roman" w:cs="Times New Roman"/>
          <w:i/>
          <w:sz w:val="24"/>
          <w:szCs w:val="24"/>
        </w:rPr>
        <w:t xml:space="preserve"> Relations Act</w:t>
      </w:r>
      <w:r w:rsidR="00D02F96" w:rsidRPr="00FD5CD8">
        <w:rPr>
          <w:rFonts w:ascii="Times New Roman" w:hAnsi="Times New Roman" w:cs="Times New Roman"/>
          <w:sz w:val="24"/>
          <w:szCs w:val="24"/>
        </w:rPr>
        <w:t xml:space="preserve"> </w:t>
      </w:r>
      <w:r w:rsidR="00563255" w:rsidRPr="00FD5CD8">
        <w:rPr>
          <w:rFonts w:ascii="Times New Roman" w:hAnsi="Times New Roman" w:cs="Times New Roman"/>
          <w:sz w:val="24"/>
          <w:szCs w:val="24"/>
        </w:rPr>
        <w:t>they</w:t>
      </w:r>
      <w:r w:rsidR="004E4E85" w:rsidRPr="00FD5CD8">
        <w:rPr>
          <w:rFonts w:ascii="Times New Roman" w:hAnsi="Times New Roman" w:cs="Times New Roman"/>
          <w:sz w:val="24"/>
          <w:szCs w:val="24"/>
        </w:rPr>
        <w:t xml:space="preserve"> attempt to regain their rights through the supreme court of Canada </w:t>
      </w:r>
      <w:r w:rsidR="00C378B1" w:rsidRPr="00FD5CD8">
        <w:rPr>
          <w:rFonts w:ascii="Times New Roman" w:hAnsi="Times New Roman" w:cs="Times New Roman"/>
          <w:sz w:val="24"/>
          <w:szCs w:val="24"/>
        </w:rPr>
        <w:t>in 2001</w:t>
      </w:r>
      <w:r w:rsidR="00563255" w:rsidRPr="00FD5CD8">
        <w:rPr>
          <w:rFonts w:ascii="Times New Roman" w:hAnsi="Times New Roman" w:cs="Times New Roman"/>
          <w:sz w:val="24"/>
          <w:szCs w:val="24"/>
        </w:rPr>
        <w:t>.</w:t>
      </w:r>
      <w:r w:rsidR="00892392" w:rsidRPr="00FD5CD8">
        <w:rPr>
          <w:rFonts w:ascii="Times New Roman" w:hAnsi="Times New Roman" w:cs="Times New Roman"/>
          <w:sz w:val="24"/>
          <w:szCs w:val="24"/>
        </w:rPr>
        <w:t xml:space="preserve"> </w:t>
      </w:r>
      <w:r w:rsidR="00563255" w:rsidRPr="00FD5CD8">
        <w:rPr>
          <w:rFonts w:ascii="Times New Roman" w:hAnsi="Times New Roman" w:cs="Times New Roman"/>
          <w:sz w:val="24"/>
          <w:szCs w:val="24"/>
        </w:rPr>
        <w:t xml:space="preserve">The approach is </w:t>
      </w:r>
      <w:r w:rsidR="00892392" w:rsidRPr="00FD5CD8">
        <w:rPr>
          <w:rFonts w:ascii="Times New Roman" w:hAnsi="Times New Roman" w:cs="Times New Roman"/>
          <w:sz w:val="24"/>
          <w:szCs w:val="24"/>
        </w:rPr>
        <w:t xml:space="preserve">on the basis </w:t>
      </w:r>
      <w:r w:rsidR="00D02F96" w:rsidRPr="00FD5CD8">
        <w:rPr>
          <w:rFonts w:ascii="Times New Roman" w:hAnsi="Times New Roman" w:cs="Times New Roman"/>
          <w:sz w:val="24"/>
          <w:szCs w:val="24"/>
        </w:rPr>
        <w:t xml:space="preserve">that </w:t>
      </w:r>
      <w:proofErr w:type="spellStart"/>
      <w:r w:rsidR="00D02F96" w:rsidRPr="00FD5CD8">
        <w:rPr>
          <w:rFonts w:ascii="Times New Roman" w:hAnsi="Times New Roman" w:cs="Times New Roman"/>
          <w:sz w:val="24"/>
          <w:szCs w:val="24"/>
        </w:rPr>
        <w:t>farmworkers</w:t>
      </w:r>
      <w:proofErr w:type="spellEnd"/>
      <w:r w:rsidR="00D02F96" w:rsidRPr="00FD5CD8">
        <w:rPr>
          <w:rFonts w:ascii="Times New Roman" w:hAnsi="Times New Roman" w:cs="Times New Roman"/>
          <w:sz w:val="24"/>
          <w:szCs w:val="24"/>
        </w:rPr>
        <w:t xml:space="preserve"> are not adequately recognized as an association</w:t>
      </w:r>
      <w:r w:rsidR="00A26907" w:rsidRPr="00FD5CD8">
        <w:rPr>
          <w:rFonts w:ascii="Times New Roman" w:hAnsi="Times New Roman" w:cs="Times New Roman"/>
          <w:sz w:val="24"/>
          <w:szCs w:val="24"/>
        </w:rPr>
        <w:t xml:space="preserve">, </w:t>
      </w:r>
      <w:r w:rsidR="00563255" w:rsidRPr="00FD5CD8">
        <w:rPr>
          <w:rFonts w:ascii="Times New Roman" w:hAnsi="Times New Roman" w:cs="Times New Roman"/>
          <w:sz w:val="24"/>
          <w:szCs w:val="24"/>
        </w:rPr>
        <w:t xml:space="preserve">they are </w:t>
      </w:r>
      <w:r w:rsidR="00D02F96" w:rsidRPr="00FD5CD8">
        <w:rPr>
          <w:rFonts w:ascii="Times New Roman" w:hAnsi="Times New Roman" w:cs="Times New Roman"/>
          <w:sz w:val="24"/>
          <w:szCs w:val="24"/>
        </w:rPr>
        <w:t>attempting t</w:t>
      </w:r>
      <w:r w:rsidR="00563255" w:rsidRPr="00FD5CD8">
        <w:rPr>
          <w:rFonts w:ascii="Times New Roman" w:hAnsi="Times New Roman" w:cs="Times New Roman"/>
          <w:sz w:val="24"/>
          <w:szCs w:val="24"/>
        </w:rPr>
        <w:t>o become formally recognized</w:t>
      </w:r>
      <w:r w:rsidR="0026590B" w:rsidRPr="00FD5CD8">
        <w:rPr>
          <w:rFonts w:ascii="Times New Roman" w:hAnsi="Times New Roman" w:cs="Times New Roman"/>
          <w:sz w:val="24"/>
          <w:szCs w:val="24"/>
        </w:rPr>
        <w:t xml:space="preserve"> or unionized</w:t>
      </w:r>
      <w:r w:rsidR="00563255" w:rsidRPr="00FD5CD8">
        <w:rPr>
          <w:rFonts w:ascii="Times New Roman" w:hAnsi="Times New Roman" w:cs="Times New Roman"/>
          <w:sz w:val="24"/>
          <w:szCs w:val="24"/>
        </w:rPr>
        <w:t xml:space="preserve"> to</w:t>
      </w:r>
      <w:r w:rsidR="00D02F96" w:rsidRPr="00FD5CD8">
        <w:rPr>
          <w:rFonts w:ascii="Times New Roman" w:hAnsi="Times New Roman" w:cs="Times New Roman"/>
          <w:sz w:val="24"/>
          <w:szCs w:val="24"/>
        </w:rPr>
        <w:t xml:space="preserve"> able to engage with society as a collective group</w:t>
      </w:r>
      <w:r w:rsidR="00C378B1" w:rsidRPr="00FD5CD8">
        <w:rPr>
          <w:rFonts w:ascii="Times New Roman" w:hAnsi="Times New Roman" w:cs="Times New Roman"/>
          <w:sz w:val="24"/>
          <w:szCs w:val="24"/>
        </w:rPr>
        <w:t>. T</w:t>
      </w:r>
      <w:r w:rsidRPr="00FD5CD8">
        <w:rPr>
          <w:rFonts w:ascii="Times New Roman" w:hAnsi="Times New Roman" w:cs="Times New Roman"/>
          <w:sz w:val="24"/>
          <w:szCs w:val="24"/>
        </w:rPr>
        <w:t xml:space="preserve">he </w:t>
      </w:r>
      <w:r w:rsidR="0026590B" w:rsidRPr="00FD5CD8">
        <w:rPr>
          <w:rFonts w:ascii="Times New Roman" w:hAnsi="Times New Roman" w:cs="Times New Roman"/>
          <w:sz w:val="24"/>
          <w:szCs w:val="24"/>
        </w:rPr>
        <w:t xml:space="preserve">decided </w:t>
      </w:r>
      <w:r w:rsidRPr="00FD5CD8">
        <w:rPr>
          <w:rFonts w:ascii="Times New Roman" w:hAnsi="Times New Roman" w:cs="Times New Roman"/>
          <w:sz w:val="24"/>
          <w:szCs w:val="24"/>
        </w:rPr>
        <w:t>case</w:t>
      </w:r>
      <w:r w:rsidR="00C378B1" w:rsidRPr="00FD5CD8">
        <w:rPr>
          <w:rFonts w:ascii="Times New Roman" w:hAnsi="Times New Roman" w:cs="Times New Roman"/>
          <w:sz w:val="24"/>
          <w:szCs w:val="24"/>
        </w:rPr>
        <w:t>;</w:t>
      </w:r>
      <w:r w:rsidR="004E4E85" w:rsidRPr="00FD5CD8">
        <w:rPr>
          <w:rFonts w:ascii="Times New Roman" w:hAnsi="Times New Roman" w:cs="Times New Roman"/>
          <w:sz w:val="24"/>
          <w:szCs w:val="24"/>
        </w:rPr>
        <w:t xml:space="preserve"> </w:t>
      </w:r>
      <w:r w:rsidR="004E4E85" w:rsidRPr="00FD5CD8">
        <w:rPr>
          <w:rFonts w:ascii="Times New Roman" w:hAnsi="Times New Roman" w:cs="Times New Roman"/>
          <w:i/>
          <w:sz w:val="24"/>
          <w:szCs w:val="24"/>
        </w:rPr>
        <w:t>Dunmore v. Ontario (Attorney General)</w:t>
      </w:r>
      <w:r w:rsidR="004E4E85" w:rsidRPr="00FD5CD8">
        <w:rPr>
          <w:rFonts w:ascii="Times New Roman" w:hAnsi="Times New Roman" w:cs="Times New Roman"/>
          <w:sz w:val="24"/>
          <w:szCs w:val="24"/>
        </w:rPr>
        <w:t>, [2001] 3 S.C.R. 1016</w:t>
      </w:r>
      <w:r w:rsidRPr="00FD5CD8">
        <w:rPr>
          <w:rFonts w:ascii="Times New Roman" w:hAnsi="Times New Roman" w:cs="Times New Roman"/>
          <w:sz w:val="24"/>
          <w:szCs w:val="24"/>
        </w:rPr>
        <w:t xml:space="preserve"> did not provide adequate results for these workers</w:t>
      </w:r>
      <w:r w:rsidR="004E4E85" w:rsidRPr="00FD5CD8">
        <w:rPr>
          <w:rFonts w:ascii="Times New Roman" w:hAnsi="Times New Roman" w:cs="Times New Roman"/>
          <w:sz w:val="24"/>
          <w:szCs w:val="24"/>
        </w:rPr>
        <w:t>.</w:t>
      </w:r>
      <w:r w:rsidR="004E4E85" w:rsidRPr="00FD5CD8">
        <w:rPr>
          <w:rStyle w:val="FootnoteReference"/>
          <w:rFonts w:ascii="Times New Roman" w:hAnsi="Times New Roman" w:cs="Times New Roman"/>
          <w:sz w:val="24"/>
          <w:szCs w:val="24"/>
        </w:rPr>
        <w:footnoteReference w:id="6"/>
      </w:r>
      <w:r w:rsidRPr="00FD5CD8">
        <w:rPr>
          <w:rFonts w:ascii="Times New Roman" w:hAnsi="Times New Roman" w:cs="Times New Roman"/>
          <w:sz w:val="24"/>
          <w:szCs w:val="24"/>
        </w:rPr>
        <w:t xml:space="preserve"> The Supreme C</w:t>
      </w:r>
      <w:r w:rsidR="004E4E85" w:rsidRPr="00FD5CD8">
        <w:rPr>
          <w:rFonts w:ascii="Times New Roman" w:hAnsi="Times New Roman" w:cs="Times New Roman"/>
          <w:sz w:val="24"/>
          <w:szCs w:val="24"/>
        </w:rPr>
        <w:t>ourt did not support the workers’ case deeming the incap</w:t>
      </w:r>
      <w:r w:rsidRPr="00FD5CD8">
        <w:rPr>
          <w:rFonts w:ascii="Times New Roman" w:hAnsi="Times New Roman" w:cs="Times New Roman"/>
          <w:sz w:val="24"/>
          <w:szCs w:val="24"/>
        </w:rPr>
        <w:t>ability of forming formal union</w:t>
      </w:r>
      <w:r w:rsidR="004E4E85" w:rsidRPr="00FD5CD8">
        <w:rPr>
          <w:rFonts w:ascii="Times New Roman" w:hAnsi="Times New Roman" w:cs="Times New Roman"/>
          <w:sz w:val="24"/>
          <w:szCs w:val="24"/>
        </w:rPr>
        <w:t xml:space="preserve"> </w:t>
      </w:r>
      <w:r w:rsidR="0099143A" w:rsidRPr="00FD5CD8">
        <w:rPr>
          <w:rFonts w:ascii="Times New Roman" w:hAnsi="Times New Roman" w:cs="Times New Roman"/>
          <w:sz w:val="24"/>
          <w:szCs w:val="24"/>
        </w:rPr>
        <w:t xml:space="preserve">by definition </w:t>
      </w:r>
      <w:r w:rsidR="007A07CB" w:rsidRPr="00FD5CD8">
        <w:rPr>
          <w:rFonts w:ascii="Times New Roman" w:hAnsi="Times New Roman" w:cs="Times New Roman"/>
          <w:sz w:val="24"/>
          <w:szCs w:val="24"/>
        </w:rPr>
        <w:t xml:space="preserve">an invalid </w:t>
      </w:r>
      <w:r w:rsidR="004E4E85" w:rsidRPr="00FD5CD8">
        <w:rPr>
          <w:rFonts w:ascii="Times New Roman" w:hAnsi="Times New Roman" w:cs="Times New Roman"/>
          <w:sz w:val="24"/>
          <w:szCs w:val="24"/>
        </w:rPr>
        <w:t>reason</w:t>
      </w:r>
      <w:r w:rsidR="00D3459A" w:rsidRPr="00FD5CD8">
        <w:rPr>
          <w:rFonts w:ascii="Times New Roman" w:hAnsi="Times New Roman" w:cs="Times New Roman"/>
          <w:sz w:val="24"/>
          <w:szCs w:val="24"/>
        </w:rPr>
        <w:t>,</w:t>
      </w:r>
      <w:r w:rsidR="004E4E85" w:rsidRPr="00FD5CD8">
        <w:rPr>
          <w:rFonts w:ascii="Times New Roman" w:hAnsi="Times New Roman" w:cs="Times New Roman"/>
          <w:sz w:val="24"/>
          <w:szCs w:val="24"/>
        </w:rPr>
        <w:t xml:space="preserve"> </w:t>
      </w:r>
      <w:r w:rsidR="00DC4F6B" w:rsidRPr="00FD5CD8">
        <w:rPr>
          <w:rFonts w:ascii="Times New Roman" w:hAnsi="Times New Roman" w:cs="Times New Roman"/>
          <w:sz w:val="24"/>
          <w:szCs w:val="24"/>
        </w:rPr>
        <w:t>therefore failing</w:t>
      </w:r>
      <w:r w:rsidR="004E4E85" w:rsidRPr="00FD5CD8">
        <w:rPr>
          <w:rFonts w:ascii="Times New Roman" w:hAnsi="Times New Roman" w:cs="Times New Roman"/>
          <w:sz w:val="24"/>
          <w:szCs w:val="24"/>
        </w:rPr>
        <w:t xml:space="preserve"> to breach their</w:t>
      </w:r>
      <w:r w:rsidR="008C1CBB" w:rsidRPr="00FD5CD8">
        <w:rPr>
          <w:rFonts w:ascii="Times New Roman" w:hAnsi="Times New Roman" w:cs="Times New Roman"/>
          <w:sz w:val="24"/>
          <w:szCs w:val="24"/>
        </w:rPr>
        <w:t xml:space="preserve"> rights to</w:t>
      </w:r>
      <w:r w:rsidR="004E4E85" w:rsidRPr="00FD5CD8">
        <w:rPr>
          <w:rFonts w:ascii="Times New Roman" w:hAnsi="Times New Roman" w:cs="Times New Roman"/>
          <w:sz w:val="24"/>
          <w:szCs w:val="24"/>
        </w:rPr>
        <w:t xml:space="preserve"> freedom of association.</w:t>
      </w:r>
      <w:r w:rsidR="00753BA7" w:rsidRPr="00FD5CD8">
        <w:rPr>
          <w:rFonts w:ascii="Times New Roman" w:hAnsi="Times New Roman" w:cs="Times New Roman"/>
          <w:sz w:val="24"/>
          <w:szCs w:val="24"/>
        </w:rPr>
        <w:t xml:space="preserve"> </w:t>
      </w:r>
      <w:r w:rsidR="00A26907" w:rsidRPr="00FD5CD8">
        <w:rPr>
          <w:rFonts w:ascii="Times New Roman" w:hAnsi="Times New Roman" w:cs="Times New Roman"/>
          <w:sz w:val="24"/>
          <w:szCs w:val="24"/>
        </w:rPr>
        <w:t>However,</w:t>
      </w:r>
      <w:r w:rsidR="00753BA7" w:rsidRPr="00FD5CD8">
        <w:rPr>
          <w:rFonts w:ascii="Times New Roman" w:hAnsi="Times New Roman" w:cs="Times New Roman"/>
          <w:sz w:val="24"/>
          <w:szCs w:val="24"/>
        </w:rPr>
        <w:t xml:space="preserve"> </w:t>
      </w:r>
      <w:r w:rsidR="00A26907" w:rsidRPr="00FD5CD8">
        <w:rPr>
          <w:rFonts w:ascii="Times New Roman" w:hAnsi="Times New Roman" w:cs="Times New Roman"/>
          <w:sz w:val="24"/>
          <w:szCs w:val="24"/>
        </w:rPr>
        <w:t>the courts did</w:t>
      </w:r>
      <w:r w:rsidR="00753BA7" w:rsidRPr="00FD5CD8">
        <w:rPr>
          <w:rFonts w:ascii="Times New Roman" w:hAnsi="Times New Roman" w:cs="Times New Roman"/>
          <w:sz w:val="24"/>
          <w:szCs w:val="24"/>
        </w:rPr>
        <w:t xml:space="preserve"> </w:t>
      </w:r>
      <w:r w:rsidR="00A26907" w:rsidRPr="00FD5CD8">
        <w:rPr>
          <w:rFonts w:ascii="Times New Roman" w:hAnsi="Times New Roman" w:cs="Times New Roman"/>
          <w:sz w:val="24"/>
          <w:szCs w:val="24"/>
        </w:rPr>
        <w:t>entail that the state provide an acknowledgment for their efforts.</w:t>
      </w:r>
      <w:r w:rsidR="00753BA7" w:rsidRPr="00FD5CD8">
        <w:rPr>
          <w:rFonts w:ascii="Times New Roman" w:hAnsi="Times New Roman" w:cs="Times New Roman"/>
          <w:sz w:val="24"/>
          <w:szCs w:val="24"/>
        </w:rPr>
        <w:t xml:space="preserve"> </w:t>
      </w:r>
      <w:r w:rsidR="004E4E85" w:rsidRPr="00FD5CD8">
        <w:rPr>
          <w:rFonts w:ascii="Times New Roman" w:hAnsi="Times New Roman" w:cs="Times New Roman"/>
          <w:sz w:val="24"/>
          <w:szCs w:val="24"/>
        </w:rPr>
        <w:t xml:space="preserve"> </w:t>
      </w:r>
      <w:r w:rsidR="00B708C6" w:rsidRPr="00FD5CD8">
        <w:rPr>
          <w:rFonts w:ascii="Times New Roman" w:hAnsi="Times New Roman" w:cs="Times New Roman"/>
          <w:sz w:val="24"/>
          <w:szCs w:val="24"/>
        </w:rPr>
        <w:t xml:space="preserve">Although they do not proceed to include agricultural workers into the </w:t>
      </w:r>
      <w:proofErr w:type="spellStart"/>
      <w:r w:rsidR="00B708C6" w:rsidRPr="00FD5CD8">
        <w:rPr>
          <w:rFonts w:ascii="Times New Roman" w:hAnsi="Times New Roman" w:cs="Times New Roman"/>
          <w:i/>
          <w:sz w:val="24"/>
          <w:szCs w:val="24"/>
        </w:rPr>
        <w:t>Labour</w:t>
      </w:r>
      <w:proofErr w:type="spellEnd"/>
      <w:r w:rsidR="00B708C6" w:rsidRPr="00FD5CD8">
        <w:rPr>
          <w:rFonts w:ascii="Times New Roman" w:hAnsi="Times New Roman" w:cs="Times New Roman"/>
          <w:i/>
          <w:sz w:val="24"/>
          <w:szCs w:val="24"/>
        </w:rPr>
        <w:t xml:space="preserve"> Relations Act</w:t>
      </w:r>
      <w:r w:rsidR="004E4E85" w:rsidRPr="00FD5CD8">
        <w:rPr>
          <w:rFonts w:ascii="Times New Roman" w:hAnsi="Times New Roman" w:cs="Times New Roman"/>
          <w:sz w:val="24"/>
          <w:szCs w:val="24"/>
        </w:rPr>
        <w:t xml:space="preserve"> attempts to provide some evidence of effort by the government in response to the case above the </w:t>
      </w:r>
      <w:r w:rsidR="003E36E1" w:rsidRPr="00FD5CD8">
        <w:rPr>
          <w:rFonts w:ascii="Times New Roman" w:hAnsi="Times New Roman" w:cs="Times New Roman"/>
          <w:i/>
          <w:sz w:val="24"/>
          <w:szCs w:val="24"/>
        </w:rPr>
        <w:t xml:space="preserve">Agricultural Employees Protection Act </w:t>
      </w:r>
      <w:r w:rsidR="003E36E1" w:rsidRPr="00FD5CD8">
        <w:rPr>
          <w:rFonts w:ascii="Times New Roman" w:hAnsi="Times New Roman" w:cs="Times New Roman"/>
          <w:sz w:val="24"/>
          <w:szCs w:val="24"/>
        </w:rPr>
        <w:t>(</w:t>
      </w:r>
      <w:r w:rsidR="004E4E85" w:rsidRPr="00FD5CD8">
        <w:rPr>
          <w:rFonts w:ascii="Times New Roman" w:hAnsi="Times New Roman" w:cs="Times New Roman"/>
          <w:sz w:val="24"/>
          <w:szCs w:val="24"/>
        </w:rPr>
        <w:t>AEPA</w:t>
      </w:r>
      <w:r w:rsidR="003E36E1" w:rsidRPr="00FD5CD8">
        <w:rPr>
          <w:rFonts w:ascii="Times New Roman" w:hAnsi="Times New Roman" w:cs="Times New Roman"/>
          <w:sz w:val="24"/>
          <w:szCs w:val="24"/>
        </w:rPr>
        <w:t>)</w:t>
      </w:r>
      <w:r w:rsidR="004E4E85" w:rsidRPr="00FD5CD8">
        <w:rPr>
          <w:rFonts w:ascii="Times New Roman" w:hAnsi="Times New Roman" w:cs="Times New Roman"/>
          <w:sz w:val="24"/>
          <w:szCs w:val="24"/>
        </w:rPr>
        <w:t xml:space="preserve"> was passed in 2002</w:t>
      </w:r>
      <w:r w:rsidR="00073E99" w:rsidRPr="00FD5CD8">
        <w:rPr>
          <w:rFonts w:ascii="Times New Roman" w:hAnsi="Times New Roman" w:cs="Times New Roman"/>
          <w:sz w:val="24"/>
          <w:szCs w:val="24"/>
        </w:rPr>
        <w:t>.</w:t>
      </w:r>
      <w:r w:rsidR="002A5FC2" w:rsidRPr="00FD5CD8">
        <w:rPr>
          <w:rFonts w:ascii="Times New Roman" w:hAnsi="Times New Roman" w:cs="Times New Roman"/>
          <w:sz w:val="24"/>
          <w:szCs w:val="24"/>
        </w:rPr>
        <w:t xml:space="preserve"> </w:t>
      </w:r>
      <w:r w:rsidR="00AD6716" w:rsidRPr="00FD5CD8">
        <w:rPr>
          <w:rFonts w:ascii="Times New Roman" w:hAnsi="Times New Roman" w:cs="Times New Roman"/>
          <w:sz w:val="24"/>
          <w:szCs w:val="24"/>
        </w:rPr>
        <w:t>Unfortunately, the concept of the AEPA does not satisfy what the workers are trying to attain, “T</w:t>
      </w:r>
      <w:r w:rsidR="00297F72" w:rsidRPr="00FD5CD8">
        <w:rPr>
          <w:rFonts w:ascii="Times New Roman" w:hAnsi="Times New Roman" w:cs="Times New Roman"/>
          <w:sz w:val="24"/>
          <w:szCs w:val="24"/>
        </w:rPr>
        <w:t>he AEPA, agricultural workers are segregated under a separate statutory regime that gives them fewer rights than other workers in the province. In particular, the Applicants note that the AEPA does not protect the rights to unionize or engage in collective bargaining.”</w:t>
      </w:r>
      <w:r w:rsidR="00297F72" w:rsidRPr="00FD5CD8">
        <w:rPr>
          <w:rStyle w:val="FootnoteReference"/>
          <w:rFonts w:ascii="Times New Roman" w:hAnsi="Times New Roman" w:cs="Times New Roman"/>
          <w:sz w:val="24"/>
          <w:szCs w:val="24"/>
        </w:rPr>
        <w:footnoteReference w:id="7"/>
      </w:r>
      <w:r w:rsidR="007C6436" w:rsidRPr="00FD5CD8">
        <w:rPr>
          <w:rFonts w:ascii="Times New Roman" w:hAnsi="Times New Roman" w:cs="Times New Roman"/>
          <w:sz w:val="24"/>
          <w:szCs w:val="24"/>
        </w:rPr>
        <w:t xml:space="preserve">“Per </w:t>
      </w:r>
      <w:proofErr w:type="spellStart"/>
      <w:r w:rsidR="007C6436" w:rsidRPr="00FD5CD8">
        <w:rPr>
          <w:rFonts w:ascii="Times New Roman" w:hAnsi="Times New Roman" w:cs="Times New Roman"/>
          <w:sz w:val="24"/>
          <w:szCs w:val="24"/>
        </w:rPr>
        <w:t>McLachlin</w:t>
      </w:r>
      <w:proofErr w:type="spellEnd"/>
      <w:r w:rsidR="007C6436" w:rsidRPr="00FD5CD8">
        <w:rPr>
          <w:rFonts w:ascii="Times New Roman" w:hAnsi="Times New Roman" w:cs="Times New Roman"/>
          <w:sz w:val="24"/>
          <w:szCs w:val="24"/>
        </w:rPr>
        <w:t xml:space="preserve"> C.J. and </w:t>
      </w:r>
      <w:proofErr w:type="spellStart"/>
      <w:r w:rsidR="007C6436" w:rsidRPr="00FD5CD8">
        <w:rPr>
          <w:rFonts w:ascii="Times New Roman" w:hAnsi="Times New Roman" w:cs="Times New Roman"/>
          <w:sz w:val="24"/>
          <w:szCs w:val="24"/>
        </w:rPr>
        <w:t>LeBel</w:t>
      </w:r>
      <w:proofErr w:type="spellEnd"/>
      <w:r w:rsidR="007C6436" w:rsidRPr="00FD5CD8">
        <w:rPr>
          <w:rFonts w:ascii="Times New Roman" w:hAnsi="Times New Roman" w:cs="Times New Roman"/>
          <w:sz w:val="24"/>
          <w:szCs w:val="24"/>
        </w:rPr>
        <w:t xml:space="preserve">, </w:t>
      </w:r>
      <w:proofErr w:type="spellStart"/>
      <w:r w:rsidR="007C6436" w:rsidRPr="00FD5CD8">
        <w:rPr>
          <w:rFonts w:ascii="Times New Roman" w:hAnsi="Times New Roman" w:cs="Times New Roman"/>
          <w:sz w:val="24"/>
          <w:szCs w:val="24"/>
        </w:rPr>
        <w:t>Binnie</w:t>
      </w:r>
      <w:proofErr w:type="spellEnd"/>
      <w:r w:rsidR="007C6436" w:rsidRPr="00FD5CD8">
        <w:rPr>
          <w:rFonts w:ascii="Times New Roman" w:hAnsi="Times New Roman" w:cs="Times New Roman"/>
          <w:sz w:val="24"/>
          <w:szCs w:val="24"/>
        </w:rPr>
        <w:t>, Fish and Cromwell JJ.:  Section 2(d) of the Charter protects the right to associate to achieve collective goals.  This requires a process of engagement that permits employee associations to make representations to employers, which employers must consider and discuss in good faith.”</w:t>
      </w:r>
      <w:r w:rsidR="007C6436" w:rsidRPr="00FD5CD8">
        <w:rPr>
          <w:rStyle w:val="FootnoteReference"/>
          <w:rFonts w:ascii="Times New Roman" w:hAnsi="Times New Roman" w:cs="Times New Roman"/>
          <w:sz w:val="24"/>
          <w:szCs w:val="24"/>
        </w:rPr>
        <w:footnoteReference w:id="8"/>
      </w:r>
      <w:r w:rsidR="007C6436" w:rsidRPr="00FD5CD8">
        <w:rPr>
          <w:rFonts w:ascii="Times New Roman" w:hAnsi="Times New Roman" w:cs="Times New Roman"/>
          <w:sz w:val="24"/>
          <w:szCs w:val="24"/>
        </w:rPr>
        <w:t xml:space="preserve"> </w:t>
      </w:r>
      <w:r w:rsidR="004E4D27" w:rsidRPr="00FD5CD8">
        <w:rPr>
          <w:rFonts w:ascii="Times New Roman" w:hAnsi="Times New Roman" w:cs="Times New Roman"/>
          <w:sz w:val="24"/>
          <w:szCs w:val="24"/>
        </w:rPr>
        <w:t xml:space="preserve">This being the case the NDP government who passed AEPA </w:t>
      </w:r>
      <w:r w:rsidR="00243306" w:rsidRPr="00FD5CD8">
        <w:rPr>
          <w:rFonts w:ascii="Times New Roman" w:hAnsi="Times New Roman" w:cs="Times New Roman"/>
          <w:sz w:val="24"/>
          <w:szCs w:val="24"/>
        </w:rPr>
        <w:t xml:space="preserve">does not explicitly </w:t>
      </w:r>
      <w:r w:rsidR="00243306" w:rsidRPr="00FD5CD8">
        <w:rPr>
          <w:rFonts w:ascii="Times New Roman" w:hAnsi="Times New Roman" w:cs="Times New Roman"/>
          <w:sz w:val="24"/>
          <w:szCs w:val="24"/>
        </w:rPr>
        <w:lastRenderedPageBreak/>
        <w:t>adhere to section 2</w:t>
      </w:r>
      <w:r w:rsidR="00B33365" w:rsidRPr="00FD5CD8">
        <w:rPr>
          <w:rFonts w:ascii="Times New Roman" w:hAnsi="Times New Roman" w:cs="Times New Roman"/>
          <w:sz w:val="24"/>
          <w:szCs w:val="24"/>
        </w:rPr>
        <w:t>(d) of charter</w:t>
      </w:r>
      <w:r w:rsidR="001E00E8" w:rsidRPr="00FD5CD8">
        <w:rPr>
          <w:rFonts w:ascii="Times New Roman" w:hAnsi="Times New Roman" w:cs="Times New Roman"/>
          <w:sz w:val="24"/>
          <w:szCs w:val="24"/>
        </w:rPr>
        <w:t xml:space="preserve"> because the AEPA does not</w:t>
      </w:r>
      <w:r w:rsidR="00707F0B" w:rsidRPr="00FD5CD8">
        <w:rPr>
          <w:rFonts w:ascii="Times New Roman" w:hAnsi="Times New Roman" w:cs="Times New Roman"/>
          <w:sz w:val="24"/>
          <w:szCs w:val="24"/>
        </w:rPr>
        <w:t xml:space="preserve"> </w:t>
      </w:r>
      <w:r w:rsidR="00243306" w:rsidRPr="00FD5CD8">
        <w:rPr>
          <w:rFonts w:ascii="Times New Roman" w:hAnsi="Times New Roman" w:cs="Times New Roman"/>
          <w:sz w:val="24"/>
          <w:szCs w:val="24"/>
        </w:rPr>
        <w:t xml:space="preserve">imply that employers are </w:t>
      </w:r>
      <w:r w:rsidR="00707F0B" w:rsidRPr="00FD5CD8">
        <w:rPr>
          <w:rFonts w:ascii="Times New Roman" w:hAnsi="Times New Roman" w:cs="Times New Roman"/>
          <w:sz w:val="24"/>
          <w:szCs w:val="24"/>
        </w:rPr>
        <w:t>legally require</w:t>
      </w:r>
      <w:r w:rsidR="00243306" w:rsidRPr="00FD5CD8">
        <w:rPr>
          <w:rFonts w:ascii="Times New Roman" w:hAnsi="Times New Roman" w:cs="Times New Roman"/>
          <w:sz w:val="24"/>
          <w:szCs w:val="24"/>
        </w:rPr>
        <w:t>d</w:t>
      </w:r>
      <w:r w:rsidR="00707F0B" w:rsidRPr="00FD5CD8">
        <w:rPr>
          <w:rFonts w:ascii="Times New Roman" w:hAnsi="Times New Roman" w:cs="Times New Roman"/>
          <w:sz w:val="24"/>
          <w:szCs w:val="24"/>
        </w:rPr>
        <w:t xml:space="preserve"> </w:t>
      </w:r>
      <w:r w:rsidR="00243306" w:rsidRPr="00FD5CD8">
        <w:rPr>
          <w:rFonts w:ascii="Times New Roman" w:hAnsi="Times New Roman" w:cs="Times New Roman"/>
          <w:sz w:val="24"/>
          <w:szCs w:val="24"/>
        </w:rPr>
        <w:t>or enforced to</w:t>
      </w:r>
      <w:r w:rsidR="00707F0B" w:rsidRPr="00FD5CD8">
        <w:rPr>
          <w:rFonts w:ascii="Times New Roman" w:hAnsi="Times New Roman" w:cs="Times New Roman"/>
          <w:sz w:val="24"/>
          <w:szCs w:val="24"/>
        </w:rPr>
        <w:t xml:space="preserve"> </w:t>
      </w:r>
      <w:r w:rsidR="001E00E8" w:rsidRPr="00FD5CD8">
        <w:rPr>
          <w:rFonts w:ascii="Times New Roman" w:hAnsi="Times New Roman" w:cs="Times New Roman"/>
          <w:sz w:val="24"/>
          <w:szCs w:val="24"/>
        </w:rPr>
        <w:t xml:space="preserve">negotiate or even </w:t>
      </w:r>
      <w:r w:rsidR="00707F0B" w:rsidRPr="00FD5CD8">
        <w:rPr>
          <w:rFonts w:ascii="Times New Roman" w:hAnsi="Times New Roman" w:cs="Times New Roman"/>
          <w:sz w:val="24"/>
          <w:szCs w:val="24"/>
        </w:rPr>
        <w:t xml:space="preserve">consider the </w:t>
      </w:r>
      <w:r w:rsidR="001E00E8" w:rsidRPr="00FD5CD8">
        <w:rPr>
          <w:rFonts w:ascii="Times New Roman" w:hAnsi="Times New Roman" w:cs="Times New Roman"/>
          <w:sz w:val="24"/>
          <w:szCs w:val="24"/>
        </w:rPr>
        <w:t>issues brought forth in</w:t>
      </w:r>
      <w:r w:rsidR="00707F0B" w:rsidRPr="00FD5CD8">
        <w:rPr>
          <w:rFonts w:ascii="Times New Roman" w:hAnsi="Times New Roman" w:cs="Times New Roman"/>
          <w:sz w:val="24"/>
          <w:szCs w:val="24"/>
        </w:rPr>
        <w:t xml:space="preserve"> representation of the workers’ collective efforts</w:t>
      </w:r>
      <w:r w:rsidR="00B33365" w:rsidRPr="00FD5CD8">
        <w:rPr>
          <w:rFonts w:ascii="Times New Roman" w:hAnsi="Times New Roman" w:cs="Times New Roman"/>
          <w:sz w:val="24"/>
          <w:szCs w:val="24"/>
        </w:rPr>
        <w:t>.</w:t>
      </w:r>
      <w:r w:rsidR="00C53281" w:rsidRPr="00FD5CD8">
        <w:rPr>
          <w:rFonts w:ascii="Times New Roman" w:hAnsi="Times New Roman" w:cs="Times New Roman"/>
          <w:sz w:val="24"/>
          <w:szCs w:val="24"/>
        </w:rPr>
        <w:t xml:space="preserve"> The fact that the AEPA does not protect their collective bargaining rights does not support the purpose behind section 2(d) of the charter, “a union can only exist if it is allowed to bargain collectively. That is the raison </w:t>
      </w:r>
      <w:proofErr w:type="spellStart"/>
      <w:r w:rsidR="00C53281" w:rsidRPr="00FD5CD8">
        <w:rPr>
          <w:rFonts w:ascii="Times New Roman" w:hAnsi="Times New Roman" w:cs="Times New Roman"/>
          <w:sz w:val="24"/>
          <w:szCs w:val="24"/>
        </w:rPr>
        <w:t>d’etre</w:t>
      </w:r>
      <w:proofErr w:type="spellEnd"/>
      <w:r w:rsidR="00C53281" w:rsidRPr="00FD5CD8">
        <w:rPr>
          <w:rFonts w:ascii="Times New Roman" w:hAnsi="Times New Roman" w:cs="Times New Roman"/>
          <w:sz w:val="24"/>
          <w:szCs w:val="24"/>
        </w:rPr>
        <w:t xml:space="preserve"> of a union…”</w:t>
      </w:r>
      <w:r w:rsidR="00C53281" w:rsidRPr="00FD5CD8">
        <w:rPr>
          <w:rStyle w:val="FootnoteReference"/>
          <w:rFonts w:ascii="Times New Roman" w:hAnsi="Times New Roman" w:cs="Times New Roman"/>
          <w:sz w:val="24"/>
          <w:szCs w:val="24"/>
        </w:rPr>
        <w:footnoteReference w:id="9"/>
      </w:r>
      <w:r w:rsidR="00D47189" w:rsidRPr="00FD5CD8">
        <w:rPr>
          <w:rFonts w:ascii="Times New Roman" w:hAnsi="Times New Roman" w:cs="Times New Roman"/>
          <w:sz w:val="24"/>
          <w:szCs w:val="24"/>
        </w:rPr>
        <w:t xml:space="preserve"> </w:t>
      </w:r>
      <w:r w:rsidR="00445E3A">
        <w:rPr>
          <w:rFonts w:ascii="Times New Roman" w:hAnsi="Times New Roman" w:cs="Times New Roman"/>
          <w:sz w:val="24"/>
          <w:szCs w:val="24"/>
        </w:rPr>
        <w:t>This however, does not justify the fact that</w:t>
      </w:r>
      <w:r w:rsidR="00445E3A" w:rsidRPr="00FD5CD8">
        <w:rPr>
          <w:rFonts w:ascii="Times New Roman" w:hAnsi="Times New Roman" w:cs="Times New Roman"/>
          <w:sz w:val="24"/>
          <w:szCs w:val="24"/>
        </w:rPr>
        <w:t xml:space="preserve"> Section 15, the issue c</w:t>
      </w:r>
      <w:r w:rsidR="00445E3A">
        <w:rPr>
          <w:rFonts w:ascii="Times New Roman" w:hAnsi="Times New Roman" w:cs="Times New Roman"/>
          <w:sz w:val="24"/>
          <w:szCs w:val="24"/>
        </w:rPr>
        <w:t>oncerning equality rights</w:t>
      </w:r>
      <w:r w:rsidR="00445E3A" w:rsidRPr="00FD5CD8">
        <w:rPr>
          <w:rFonts w:ascii="Times New Roman" w:hAnsi="Times New Roman" w:cs="Times New Roman"/>
          <w:sz w:val="24"/>
          <w:szCs w:val="24"/>
        </w:rPr>
        <w:t xml:space="preserve"> where the agricultural workers are denied the equal protection and benefit that all other workers are protected by under statutory law</w:t>
      </w:r>
      <w:r w:rsidR="00445E3A" w:rsidRPr="00FD5CD8">
        <w:rPr>
          <w:rStyle w:val="FootnoteReference"/>
          <w:rFonts w:ascii="Times New Roman" w:hAnsi="Times New Roman" w:cs="Times New Roman"/>
          <w:sz w:val="24"/>
          <w:szCs w:val="24"/>
        </w:rPr>
        <w:footnoteReference w:id="10"/>
      </w:r>
      <w:r w:rsidR="00445E3A">
        <w:rPr>
          <w:rFonts w:ascii="Times New Roman" w:hAnsi="Times New Roman" w:cs="Times New Roman"/>
          <w:sz w:val="24"/>
          <w:szCs w:val="24"/>
        </w:rPr>
        <w:t xml:space="preserve"> is demonstrably justified.</w:t>
      </w:r>
      <w:r w:rsidR="00445E3A" w:rsidRPr="00FD5CD8">
        <w:rPr>
          <w:rFonts w:ascii="Times New Roman" w:hAnsi="Times New Roman" w:cs="Times New Roman"/>
          <w:sz w:val="24"/>
          <w:szCs w:val="24"/>
        </w:rPr>
        <w:t xml:space="preserve"> </w:t>
      </w:r>
      <w:r w:rsidR="001F644C">
        <w:rPr>
          <w:rFonts w:ascii="Times New Roman" w:hAnsi="Times New Roman" w:cs="Times New Roman"/>
          <w:sz w:val="24"/>
          <w:szCs w:val="24"/>
        </w:rPr>
        <w:t>Although some effort is shown by the state the agricultural workers are not granted their proper rights</w:t>
      </w:r>
      <w:r w:rsidR="002014A1" w:rsidRPr="00FD5CD8">
        <w:rPr>
          <w:rFonts w:ascii="Times New Roman" w:hAnsi="Times New Roman" w:cs="Times New Roman"/>
          <w:sz w:val="24"/>
          <w:szCs w:val="24"/>
        </w:rPr>
        <w:t>,</w:t>
      </w:r>
      <w:r w:rsidR="00D47189" w:rsidRPr="00FD5CD8">
        <w:rPr>
          <w:rFonts w:ascii="Times New Roman" w:hAnsi="Times New Roman" w:cs="Times New Roman"/>
          <w:sz w:val="24"/>
          <w:szCs w:val="24"/>
        </w:rPr>
        <w:t xml:space="preserve"> the fight to attain the full extent of their constitutional rights has yet to be satisfied.</w:t>
      </w:r>
    </w:p>
    <w:p w:rsidR="0079076D" w:rsidRPr="00FD5CD8" w:rsidRDefault="0079076D" w:rsidP="00AE61FB">
      <w:pPr>
        <w:spacing w:line="480" w:lineRule="auto"/>
        <w:rPr>
          <w:rFonts w:ascii="Times New Roman" w:hAnsi="Times New Roman" w:cs="Times New Roman"/>
          <w:sz w:val="24"/>
          <w:szCs w:val="24"/>
        </w:rPr>
      </w:pPr>
    </w:p>
    <w:p w:rsidR="009C49FC" w:rsidRPr="00FD5CD8" w:rsidRDefault="00E322B9" w:rsidP="00AE61FB">
      <w:pPr>
        <w:spacing w:line="480" w:lineRule="auto"/>
        <w:rPr>
          <w:rFonts w:ascii="Times New Roman" w:hAnsi="Times New Roman" w:cs="Times New Roman"/>
          <w:b/>
          <w:sz w:val="24"/>
          <w:szCs w:val="24"/>
        </w:rPr>
      </w:pPr>
      <w:r>
        <w:rPr>
          <w:rFonts w:ascii="Times New Roman" w:hAnsi="Times New Roman" w:cs="Times New Roman"/>
          <w:b/>
          <w:sz w:val="24"/>
          <w:szCs w:val="24"/>
        </w:rPr>
        <w:t>Fraser</w:t>
      </w:r>
      <w:r w:rsidR="00194F0C">
        <w:rPr>
          <w:rFonts w:ascii="Times New Roman" w:hAnsi="Times New Roman" w:cs="Times New Roman"/>
          <w:b/>
          <w:sz w:val="24"/>
          <w:szCs w:val="24"/>
        </w:rPr>
        <w:t xml:space="preserve"> v. Ontario</w:t>
      </w:r>
      <w:r>
        <w:rPr>
          <w:rFonts w:ascii="Times New Roman" w:hAnsi="Times New Roman" w:cs="Times New Roman"/>
          <w:b/>
          <w:sz w:val="24"/>
          <w:szCs w:val="24"/>
        </w:rPr>
        <w:t xml:space="preserve"> 2006</w:t>
      </w:r>
    </w:p>
    <w:p w:rsidR="008A2DA3" w:rsidRDefault="00ED5FC3" w:rsidP="00C55E81">
      <w:pPr>
        <w:spacing w:line="480" w:lineRule="auto"/>
        <w:ind w:firstLine="720"/>
        <w:rPr>
          <w:rFonts w:ascii="Times New Roman" w:hAnsi="Times New Roman" w:cs="Times New Roman"/>
          <w:sz w:val="24"/>
          <w:szCs w:val="24"/>
        </w:rPr>
      </w:pPr>
      <w:r w:rsidRPr="00FD5CD8">
        <w:rPr>
          <w:rFonts w:ascii="Times New Roman" w:hAnsi="Times New Roman" w:cs="Times New Roman"/>
          <w:sz w:val="24"/>
          <w:szCs w:val="24"/>
        </w:rPr>
        <w:t>In 2006 another attemp</w:t>
      </w:r>
      <w:r w:rsidR="00212AE6" w:rsidRPr="00FD5CD8">
        <w:rPr>
          <w:rFonts w:ascii="Times New Roman" w:hAnsi="Times New Roman" w:cs="Times New Roman"/>
          <w:sz w:val="24"/>
          <w:szCs w:val="24"/>
        </w:rPr>
        <w:t xml:space="preserve">t is made to prove that their constitutional rights were </w:t>
      </w:r>
      <w:r w:rsidR="007C6268" w:rsidRPr="00FD5CD8">
        <w:rPr>
          <w:rFonts w:ascii="Times New Roman" w:hAnsi="Times New Roman" w:cs="Times New Roman"/>
          <w:sz w:val="24"/>
          <w:szCs w:val="24"/>
        </w:rPr>
        <w:t>still lacking legal protection and state recognition</w:t>
      </w:r>
      <w:r w:rsidR="00F64A36">
        <w:rPr>
          <w:rFonts w:ascii="Times New Roman" w:hAnsi="Times New Roman" w:cs="Times New Roman"/>
          <w:sz w:val="24"/>
          <w:szCs w:val="24"/>
        </w:rPr>
        <w:t>; Fraser v. Ontario, [2006</w:t>
      </w:r>
      <w:proofErr w:type="gramStart"/>
      <w:r w:rsidR="00F64A36">
        <w:rPr>
          <w:rFonts w:ascii="Times New Roman" w:hAnsi="Times New Roman" w:cs="Times New Roman"/>
          <w:sz w:val="24"/>
          <w:szCs w:val="24"/>
        </w:rPr>
        <w:t>][</w:t>
      </w:r>
      <w:proofErr w:type="gramEnd"/>
      <w:r w:rsidR="00F64A36">
        <w:rPr>
          <w:rFonts w:ascii="Times New Roman" w:hAnsi="Times New Roman" w:cs="Times New Roman"/>
          <w:sz w:val="24"/>
          <w:szCs w:val="24"/>
        </w:rPr>
        <w:t>1]</w:t>
      </w:r>
      <w:r w:rsidR="00212AE6" w:rsidRPr="00FD5CD8">
        <w:rPr>
          <w:rFonts w:ascii="Times New Roman" w:hAnsi="Times New Roman" w:cs="Times New Roman"/>
          <w:sz w:val="24"/>
          <w:szCs w:val="24"/>
        </w:rPr>
        <w:t xml:space="preserve">. </w:t>
      </w:r>
      <w:r w:rsidR="003E3CAE" w:rsidRPr="00FD5CD8">
        <w:rPr>
          <w:rFonts w:ascii="Times New Roman" w:hAnsi="Times New Roman" w:cs="Times New Roman"/>
          <w:sz w:val="24"/>
          <w:szCs w:val="24"/>
        </w:rPr>
        <w:t xml:space="preserve">This </w:t>
      </w:r>
      <w:r w:rsidR="00323FA4" w:rsidRPr="00FD5CD8">
        <w:rPr>
          <w:rFonts w:ascii="Times New Roman" w:hAnsi="Times New Roman" w:cs="Times New Roman"/>
          <w:sz w:val="24"/>
          <w:szCs w:val="24"/>
        </w:rPr>
        <w:t xml:space="preserve">case </w:t>
      </w:r>
      <w:r w:rsidR="003E3CAE" w:rsidRPr="00FD5CD8">
        <w:rPr>
          <w:rFonts w:ascii="Times New Roman" w:hAnsi="Times New Roman" w:cs="Times New Roman"/>
          <w:sz w:val="24"/>
          <w:szCs w:val="24"/>
        </w:rPr>
        <w:t xml:space="preserve">was tried at the Ontario Supreme Court </w:t>
      </w:r>
      <w:r w:rsidR="00323FA4" w:rsidRPr="00FD5CD8">
        <w:rPr>
          <w:rFonts w:ascii="Times New Roman" w:hAnsi="Times New Roman" w:cs="Times New Roman"/>
          <w:sz w:val="24"/>
          <w:szCs w:val="24"/>
        </w:rPr>
        <w:t xml:space="preserve">level, this time the issues raised by the agricultural workers </w:t>
      </w:r>
      <w:r w:rsidR="00FD5CD8">
        <w:rPr>
          <w:rFonts w:ascii="Times New Roman" w:hAnsi="Times New Roman" w:cs="Times New Roman"/>
          <w:sz w:val="24"/>
          <w:szCs w:val="24"/>
        </w:rPr>
        <w:t>dealt not only</w:t>
      </w:r>
      <w:r w:rsidR="00323FA4" w:rsidRPr="00FD5CD8">
        <w:rPr>
          <w:rFonts w:ascii="Times New Roman" w:hAnsi="Times New Roman" w:cs="Times New Roman"/>
          <w:sz w:val="24"/>
          <w:szCs w:val="24"/>
        </w:rPr>
        <w:t xml:space="preserve"> with section 2(d) of the charter but section 15 </w:t>
      </w:r>
      <w:proofErr w:type="gramStart"/>
      <w:r w:rsidR="00323FA4" w:rsidRPr="00FD5CD8">
        <w:rPr>
          <w:rFonts w:ascii="Times New Roman" w:hAnsi="Times New Roman" w:cs="Times New Roman"/>
          <w:sz w:val="24"/>
          <w:szCs w:val="24"/>
        </w:rPr>
        <w:t>( as</w:t>
      </w:r>
      <w:proofErr w:type="gramEnd"/>
      <w:r w:rsidR="00323FA4" w:rsidRPr="00FD5CD8">
        <w:rPr>
          <w:rFonts w:ascii="Times New Roman" w:hAnsi="Times New Roman" w:cs="Times New Roman"/>
          <w:sz w:val="24"/>
          <w:szCs w:val="24"/>
        </w:rPr>
        <w:t xml:space="preserve"> well.</w:t>
      </w:r>
      <w:r w:rsidR="003E3CAE" w:rsidRPr="00FD5CD8">
        <w:rPr>
          <w:rFonts w:ascii="Times New Roman" w:hAnsi="Times New Roman" w:cs="Times New Roman"/>
          <w:sz w:val="24"/>
          <w:szCs w:val="24"/>
        </w:rPr>
        <w:t xml:space="preserve"> </w:t>
      </w:r>
      <w:r w:rsidR="00212AE6" w:rsidRPr="00FD5CD8">
        <w:rPr>
          <w:rFonts w:ascii="Times New Roman" w:hAnsi="Times New Roman" w:cs="Times New Roman"/>
          <w:sz w:val="24"/>
          <w:szCs w:val="24"/>
        </w:rPr>
        <w:t>“The Act (AEPA) infringed the Charter's guarantees of freedom of association (</w:t>
      </w:r>
      <w:proofErr w:type="gramStart"/>
      <w:r w:rsidR="00212AE6" w:rsidRPr="00FD5CD8">
        <w:rPr>
          <w:rFonts w:ascii="Times New Roman" w:hAnsi="Times New Roman" w:cs="Times New Roman"/>
          <w:sz w:val="24"/>
          <w:szCs w:val="24"/>
        </w:rPr>
        <w:t>s.2(</w:t>
      </w:r>
      <w:proofErr w:type="gramEnd"/>
      <w:r w:rsidR="00212AE6" w:rsidRPr="00FD5CD8">
        <w:rPr>
          <w:rFonts w:ascii="Times New Roman" w:hAnsi="Times New Roman" w:cs="Times New Roman"/>
          <w:sz w:val="24"/>
          <w:szCs w:val="24"/>
        </w:rPr>
        <w:t>d)) and equality before the law (s.15(1)).”</w:t>
      </w:r>
      <w:r w:rsidR="00A13EDB" w:rsidRPr="00FD5CD8">
        <w:rPr>
          <w:rStyle w:val="FootnoteReference"/>
          <w:rFonts w:ascii="Times New Roman" w:hAnsi="Times New Roman" w:cs="Times New Roman"/>
          <w:sz w:val="24"/>
          <w:szCs w:val="24"/>
        </w:rPr>
        <w:footnoteReference w:id="11"/>
      </w:r>
      <w:r w:rsidR="00212AE6" w:rsidRPr="00FD5CD8">
        <w:rPr>
          <w:rFonts w:ascii="Times New Roman" w:hAnsi="Times New Roman" w:cs="Times New Roman"/>
          <w:sz w:val="24"/>
          <w:szCs w:val="24"/>
        </w:rPr>
        <w:t xml:space="preserve"> </w:t>
      </w:r>
      <w:r w:rsidR="00CF7649" w:rsidRPr="00FD5CD8">
        <w:rPr>
          <w:rFonts w:ascii="Times New Roman" w:hAnsi="Times New Roman" w:cs="Times New Roman"/>
          <w:sz w:val="24"/>
          <w:szCs w:val="24"/>
        </w:rPr>
        <w:t xml:space="preserve">Section 1 of the Charter plays a largely impacting role on the final decision, “through the application of a text that encompasses not one but three of the most open-ended concepts in any </w:t>
      </w:r>
      <w:r w:rsidR="00CF7649" w:rsidRPr="00FD5CD8">
        <w:rPr>
          <w:rFonts w:ascii="Times New Roman" w:hAnsi="Times New Roman" w:cs="Times New Roman"/>
          <w:sz w:val="24"/>
          <w:szCs w:val="24"/>
        </w:rPr>
        <w:lastRenderedPageBreak/>
        <w:t>language: ‘reasonable limits,’ ‘demonstrably justifiable,’ and ‘free and democratic society.”</w:t>
      </w:r>
      <w:r w:rsidR="00CF7649" w:rsidRPr="00FD5CD8">
        <w:rPr>
          <w:rStyle w:val="FootnoteReference"/>
          <w:rFonts w:ascii="Times New Roman" w:hAnsi="Times New Roman" w:cs="Times New Roman"/>
          <w:sz w:val="24"/>
          <w:szCs w:val="24"/>
        </w:rPr>
        <w:footnoteReference w:id="12"/>
      </w:r>
      <w:r w:rsidR="00CF7649" w:rsidRPr="00FD5CD8">
        <w:rPr>
          <w:rFonts w:ascii="Times New Roman" w:hAnsi="Times New Roman" w:cs="Times New Roman"/>
          <w:sz w:val="24"/>
          <w:szCs w:val="24"/>
        </w:rPr>
        <w:t xml:space="preserve"> </w:t>
      </w:r>
      <w:r w:rsidR="00212AE6" w:rsidRPr="00FD5CD8">
        <w:rPr>
          <w:rFonts w:ascii="Times New Roman" w:hAnsi="Times New Roman" w:cs="Times New Roman"/>
          <w:sz w:val="24"/>
          <w:szCs w:val="24"/>
        </w:rPr>
        <w:t>Th</w:t>
      </w:r>
      <w:r w:rsidR="00DE7A8D" w:rsidRPr="00FD5CD8">
        <w:rPr>
          <w:rFonts w:ascii="Times New Roman" w:hAnsi="Times New Roman" w:cs="Times New Roman"/>
          <w:sz w:val="24"/>
          <w:szCs w:val="24"/>
        </w:rPr>
        <w:t>e agricultural workers are</w:t>
      </w:r>
      <w:r w:rsidR="00212AE6" w:rsidRPr="00FD5CD8">
        <w:rPr>
          <w:rFonts w:ascii="Times New Roman" w:hAnsi="Times New Roman" w:cs="Times New Roman"/>
          <w:sz w:val="24"/>
          <w:szCs w:val="24"/>
        </w:rPr>
        <w:t xml:space="preserve"> dismissed </w:t>
      </w:r>
      <w:r w:rsidR="00E569BF" w:rsidRPr="00FD5CD8">
        <w:rPr>
          <w:rFonts w:ascii="Times New Roman" w:hAnsi="Times New Roman" w:cs="Times New Roman"/>
          <w:sz w:val="24"/>
          <w:szCs w:val="24"/>
        </w:rPr>
        <w:t>by the Ontario Supreme Court</w:t>
      </w:r>
      <w:r w:rsidR="00E569BF" w:rsidRPr="00FD5CD8">
        <w:rPr>
          <w:rStyle w:val="FootnoteReference"/>
          <w:rFonts w:ascii="Times New Roman" w:hAnsi="Times New Roman" w:cs="Times New Roman"/>
          <w:sz w:val="24"/>
          <w:szCs w:val="24"/>
        </w:rPr>
        <w:footnoteReference w:id="13"/>
      </w:r>
      <w:r w:rsidR="00C50D8C" w:rsidRPr="00FD5CD8">
        <w:rPr>
          <w:rFonts w:ascii="Times New Roman" w:hAnsi="Times New Roman" w:cs="Times New Roman"/>
          <w:sz w:val="24"/>
          <w:szCs w:val="24"/>
        </w:rPr>
        <w:t xml:space="preserve"> once again. According to the Supreme Court </w:t>
      </w:r>
      <w:r w:rsidR="004755E4" w:rsidRPr="00FD5CD8">
        <w:rPr>
          <w:rFonts w:ascii="Times New Roman" w:hAnsi="Times New Roman" w:cs="Times New Roman"/>
          <w:sz w:val="24"/>
          <w:szCs w:val="24"/>
        </w:rPr>
        <w:t>judge, using ‘demonstrable justification’</w:t>
      </w:r>
      <w:r w:rsidR="00C50D8C" w:rsidRPr="00FD5CD8">
        <w:rPr>
          <w:rFonts w:ascii="Times New Roman" w:hAnsi="Times New Roman" w:cs="Times New Roman"/>
          <w:sz w:val="24"/>
          <w:szCs w:val="24"/>
        </w:rPr>
        <w:t xml:space="preserve"> saved under</w:t>
      </w:r>
      <w:r w:rsidR="00AE287B" w:rsidRPr="00FD5CD8">
        <w:rPr>
          <w:rFonts w:ascii="Times New Roman" w:hAnsi="Times New Roman" w:cs="Times New Roman"/>
          <w:sz w:val="24"/>
          <w:szCs w:val="24"/>
        </w:rPr>
        <w:t xml:space="preserve"> section 1 </w:t>
      </w:r>
      <w:r w:rsidR="00C50D8C" w:rsidRPr="00FD5CD8">
        <w:rPr>
          <w:rFonts w:ascii="Times New Roman" w:hAnsi="Times New Roman" w:cs="Times New Roman"/>
          <w:sz w:val="24"/>
          <w:szCs w:val="24"/>
        </w:rPr>
        <w:t>of the Charter to ratify</w:t>
      </w:r>
      <w:r w:rsidR="00102CAC" w:rsidRPr="00FD5CD8">
        <w:rPr>
          <w:rFonts w:ascii="Times New Roman" w:hAnsi="Times New Roman" w:cs="Times New Roman"/>
          <w:sz w:val="24"/>
          <w:szCs w:val="24"/>
        </w:rPr>
        <w:t xml:space="preserve"> the final decision</w:t>
      </w:r>
      <w:r w:rsidR="00807B29" w:rsidRPr="00FD5CD8">
        <w:rPr>
          <w:rFonts w:ascii="Times New Roman" w:hAnsi="Times New Roman" w:cs="Times New Roman"/>
          <w:sz w:val="24"/>
          <w:szCs w:val="24"/>
        </w:rPr>
        <w:t>; the AEPA</w:t>
      </w:r>
      <w:r w:rsidR="00E569BF" w:rsidRPr="00FD5CD8">
        <w:rPr>
          <w:rFonts w:ascii="Times New Roman" w:hAnsi="Times New Roman" w:cs="Times New Roman"/>
          <w:sz w:val="24"/>
          <w:szCs w:val="24"/>
        </w:rPr>
        <w:t xml:space="preserve"> "provides adequate (adequate in the sense of meeting minimum standards) protection"</w:t>
      </w:r>
      <w:r w:rsidR="00991A20" w:rsidRPr="00FD5CD8">
        <w:rPr>
          <w:rStyle w:val="FootnoteReference"/>
          <w:rFonts w:ascii="Times New Roman" w:hAnsi="Times New Roman" w:cs="Times New Roman"/>
          <w:sz w:val="24"/>
          <w:szCs w:val="24"/>
        </w:rPr>
        <w:footnoteReference w:id="14"/>
      </w:r>
      <w:r w:rsidR="00E569BF" w:rsidRPr="00FD5CD8">
        <w:rPr>
          <w:rFonts w:ascii="Times New Roman" w:hAnsi="Times New Roman" w:cs="Times New Roman"/>
          <w:sz w:val="24"/>
          <w:szCs w:val="24"/>
        </w:rPr>
        <w:t xml:space="preserve"> to farm workers' freedom of association. </w:t>
      </w:r>
      <w:r w:rsidR="00C50D8C" w:rsidRPr="00FD5CD8">
        <w:rPr>
          <w:rFonts w:ascii="Times New Roman" w:hAnsi="Times New Roman" w:cs="Times New Roman"/>
          <w:sz w:val="24"/>
          <w:szCs w:val="24"/>
        </w:rPr>
        <w:t xml:space="preserve">The ability to apply s.1 </w:t>
      </w:r>
      <w:r w:rsidR="00B96567" w:rsidRPr="00FD5CD8">
        <w:rPr>
          <w:rFonts w:ascii="Times New Roman" w:hAnsi="Times New Roman" w:cs="Times New Roman"/>
          <w:sz w:val="24"/>
          <w:szCs w:val="24"/>
        </w:rPr>
        <w:t>using ‘demonstrable</w:t>
      </w:r>
      <w:r w:rsidR="004755E4" w:rsidRPr="00FD5CD8">
        <w:rPr>
          <w:rFonts w:ascii="Times New Roman" w:hAnsi="Times New Roman" w:cs="Times New Roman"/>
          <w:sz w:val="24"/>
          <w:szCs w:val="24"/>
        </w:rPr>
        <w:t xml:space="preserve"> </w:t>
      </w:r>
      <w:r w:rsidR="00B96567" w:rsidRPr="00FD5CD8">
        <w:rPr>
          <w:rFonts w:ascii="Times New Roman" w:hAnsi="Times New Roman" w:cs="Times New Roman"/>
          <w:sz w:val="24"/>
          <w:szCs w:val="24"/>
        </w:rPr>
        <w:t>justifiability’</w:t>
      </w:r>
      <w:r w:rsidR="00C50D8C" w:rsidRPr="00FD5CD8">
        <w:rPr>
          <w:rFonts w:ascii="Times New Roman" w:hAnsi="Times New Roman" w:cs="Times New Roman"/>
          <w:sz w:val="24"/>
          <w:szCs w:val="24"/>
        </w:rPr>
        <w:t xml:space="preserve"> to overrule the rights stated in section 2(d)</w:t>
      </w:r>
      <w:r w:rsidR="00214CAB" w:rsidRPr="00FD5CD8">
        <w:rPr>
          <w:rFonts w:ascii="Times New Roman" w:hAnsi="Times New Roman" w:cs="Times New Roman"/>
          <w:sz w:val="24"/>
          <w:szCs w:val="24"/>
        </w:rPr>
        <w:t xml:space="preserve"> and 15</w:t>
      </w:r>
      <w:r w:rsidR="000352E2" w:rsidRPr="00FD5CD8">
        <w:rPr>
          <w:rFonts w:ascii="Times New Roman" w:hAnsi="Times New Roman" w:cs="Times New Roman"/>
          <w:sz w:val="24"/>
          <w:szCs w:val="24"/>
        </w:rPr>
        <w:t xml:space="preserve"> </w:t>
      </w:r>
      <w:r w:rsidR="001D6D9C" w:rsidRPr="00FD5CD8">
        <w:rPr>
          <w:rFonts w:ascii="Times New Roman" w:hAnsi="Times New Roman" w:cs="Times New Roman"/>
          <w:sz w:val="24"/>
          <w:szCs w:val="24"/>
        </w:rPr>
        <w:t>remain</w:t>
      </w:r>
      <w:r w:rsidR="000352E2" w:rsidRPr="00FD5CD8">
        <w:rPr>
          <w:rFonts w:ascii="Times New Roman" w:hAnsi="Times New Roman" w:cs="Times New Roman"/>
          <w:sz w:val="24"/>
          <w:szCs w:val="24"/>
        </w:rPr>
        <w:t xml:space="preserve"> within the jurisprudence of the judge allotted the task of deciding the outcome of the case</w:t>
      </w:r>
      <w:r w:rsidR="000C1439" w:rsidRPr="00FD5CD8">
        <w:rPr>
          <w:rFonts w:ascii="Times New Roman" w:hAnsi="Times New Roman" w:cs="Times New Roman"/>
          <w:sz w:val="24"/>
          <w:szCs w:val="24"/>
        </w:rPr>
        <w:t>; “we are referrin</w:t>
      </w:r>
      <w:r w:rsidR="00807B29" w:rsidRPr="00FD5CD8">
        <w:rPr>
          <w:rFonts w:ascii="Times New Roman" w:hAnsi="Times New Roman" w:cs="Times New Roman"/>
          <w:sz w:val="24"/>
          <w:szCs w:val="24"/>
        </w:rPr>
        <w:t>g to how far the judges are read</w:t>
      </w:r>
      <w:r w:rsidR="000C1439" w:rsidRPr="00FD5CD8">
        <w:rPr>
          <w:rFonts w:ascii="Times New Roman" w:hAnsi="Times New Roman" w:cs="Times New Roman"/>
          <w:sz w:val="24"/>
          <w:szCs w:val="24"/>
        </w:rPr>
        <w:t xml:space="preserve">y to extend the Court’s intervention in matters of </w:t>
      </w:r>
      <w:r w:rsidR="00102CAC" w:rsidRPr="00FD5CD8">
        <w:rPr>
          <w:rFonts w:ascii="Times New Roman" w:hAnsi="Times New Roman" w:cs="Times New Roman"/>
          <w:sz w:val="24"/>
          <w:szCs w:val="24"/>
        </w:rPr>
        <w:t>constitutional</w:t>
      </w:r>
      <w:r w:rsidR="000C1439" w:rsidRPr="00FD5CD8">
        <w:rPr>
          <w:rFonts w:ascii="Times New Roman" w:hAnsi="Times New Roman" w:cs="Times New Roman"/>
          <w:sz w:val="24"/>
          <w:szCs w:val="24"/>
        </w:rPr>
        <w:t xml:space="preserve"> control under the Charter</w:t>
      </w:r>
      <w:r w:rsidR="000352E2" w:rsidRPr="00FD5CD8">
        <w:rPr>
          <w:rFonts w:ascii="Times New Roman" w:hAnsi="Times New Roman" w:cs="Times New Roman"/>
          <w:sz w:val="24"/>
          <w:szCs w:val="24"/>
        </w:rPr>
        <w:t>.</w:t>
      </w:r>
      <w:r w:rsidR="000C1439" w:rsidRPr="00FD5CD8">
        <w:rPr>
          <w:rFonts w:ascii="Times New Roman" w:hAnsi="Times New Roman" w:cs="Times New Roman"/>
          <w:sz w:val="24"/>
          <w:szCs w:val="24"/>
        </w:rPr>
        <w:t>”</w:t>
      </w:r>
      <w:r w:rsidR="000C1439" w:rsidRPr="00FD5CD8">
        <w:rPr>
          <w:rStyle w:val="FootnoteReference"/>
          <w:rFonts w:ascii="Times New Roman" w:hAnsi="Times New Roman" w:cs="Times New Roman"/>
          <w:sz w:val="24"/>
          <w:szCs w:val="24"/>
        </w:rPr>
        <w:footnoteReference w:id="15"/>
      </w:r>
      <w:r w:rsidR="000352E2" w:rsidRPr="00FD5CD8">
        <w:rPr>
          <w:rFonts w:ascii="Times New Roman" w:hAnsi="Times New Roman" w:cs="Times New Roman"/>
          <w:sz w:val="24"/>
          <w:szCs w:val="24"/>
        </w:rPr>
        <w:t xml:space="preserve"> Therefore </w:t>
      </w:r>
      <w:r w:rsidR="00807B29" w:rsidRPr="00FD5CD8">
        <w:rPr>
          <w:rFonts w:ascii="Times New Roman" w:hAnsi="Times New Roman" w:cs="Times New Roman"/>
          <w:sz w:val="24"/>
          <w:szCs w:val="24"/>
        </w:rPr>
        <w:t xml:space="preserve">at the Supreme Court </w:t>
      </w:r>
      <w:r w:rsidR="005E36D1" w:rsidRPr="00FD5CD8">
        <w:rPr>
          <w:rFonts w:ascii="Times New Roman" w:hAnsi="Times New Roman" w:cs="Times New Roman"/>
          <w:sz w:val="24"/>
          <w:szCs w:val="24"/>
        </w:rPr>
        <w:t xml:space="preserve">level, the judge’s jurisprudence leads them </w:t>
      </w:r>
      <w:r w:rsidR="00807B29" w:rsidRPr="00FD5CD8">
        <w:rPr>
          <w:rFonts w:ascii="Times New Roman" w:hAnsi="Times New Roman" w:cs="Times New Roman"/>
          <w:sz w:val="24"/>
          <w:szCs w:val="24"/>
        </w:rPr>
        <w:t>to</w:t>
      </w:r>
      <w:r w:rsidR="00C50D8C" w:rsidRPr="00FD5CD8">
        <w:rPr>
          <w:rFonts w:ascii="Times New Roman" w:hAnsi="Times New Roman" w:cs="Times New Roman"/>
          <w:sz w:val="24"/>
          <w:szCs w:val="24"/>
        </w:rPr>
        <w:t xml:space="preserve"> reject</w:t>
      </w:r>
      <w:r w:rsidR="00E569BF" w:rsidRPr="00FD5CD8">
        <w:rPr>
          <w:rFonts w:ascii="Times New Roman" w:hAnsi="Times New Roman" w:cs="Times New Roman"/>
          <w:sz w:val="24"/>
          <w:szCs w:val="24"/>
        </w:rPr>
        <w:t xml:space="preserve"> the applicants' argument that collective bargaining rights are a necessary part of a</w:t>
      </w:r>
      <w:r w:rsidR="00205F4C" w:rsidRPr="00FD5CD8">
        <w:rPr>
          <w:rFonts w:ascii="Times New Roman" w:hAnsi="Times New Roman" w:cs="Times New Roman"/>
          <w:sz w:val="24"/>
          <w:szCs w:val="24"/>
        </w:rPr>
        <w:t xml:space="preserve"> "meaningful right to associate.</w:t>
      </w:r>
      <w:r w:rsidR="00E569BF" w:rsidRPr="00FD5CD8">
        <w:rPr>
          <w:rFonts w:ascii="Times New Roman" w:hAnsi="Times New Roman" w:cs="Times New Roman"/>
          <w:sz w:val="24"/>
          <w:szCs w:val="24"/>
        </w:rPr>
        <w:t>"</w:t>
      </w:r>
      <w:r w:rsidR="00E569BF" w:rsidRPr="00FD5CD8">
        <w:rPr>
          <w:rStyle w:val="FootnoteReference"/>
          <w:rFonts w:ascii="Times New Roman" w:hAnsi="Times New Roman" w:cs="Times New Roman"/>
          <w:sz w:val="24"/>
          <w:szCs w:val="24"/>
        </w:rPr>
        <w:footnoteReference w:id="16"/>
      </w:r>
      <w:r w:rsidR="00205F4C" w:rsidRPr="00FD5CD8">
        <w:rPr>
          <w:rFonts w:ascii="Times New Roman" w:hAnsi="Times New Roman" w:cs="Times New Roman"/>
          <w:sz w:val="24"/>
          <w:szCs w:val="24"/>
        </w:rPr>
        <w:t xml:space="preserve"> </w:t>
      </w:r>
      <w:r w:rsidR="00C50D8C" w:rsidRPr="00FD5CD8">
        <w:rPr>
          <w:rFonts w:ascii="Times New Roman" w:hAnsi="Times New Roman" w:cs="Times New Roman"/>
          <w:sz w:val="24"/>
          <w:szCs w:val="24"/>
        </w:rPr>
        <w:t>At this point the next step for the</w:t>
      </w:r>
      <w:r w:rsidR="00AB6A19" w:rsidRPr="00FD5CD8">
        <w:rPr>
          <w:rFonts w:ascii="Times New Roman" w:hAnsi="Times New Roman" w:cs="Times New Roman"/>
          <w:sz w:val="24"/>
          <w:szCs w:val="24"/>
        </w:rPr>
        <w:t xml:space="preserve"> agricultural workers who remain</w:t>
      </w:r>
      <w:r w:rsidR="00C50D8C" w:rsidRPr="00FD5CD8">
        <w:rPr>
          <w:rFonts w:ascii="Times New Roman" w:hAnsi="Times New Roman" w:cs="Times New Roman"/>
          <w:sz w:val="24"/>
          <w:szCs w:val="24"/>
        </w:rPr>
        <w:t xml:space="preserve"> persistent j</w:t>
      </w:r>
      <w:r w:rsidR="00AB6A19" w:rsidRPr="00FD5CD8">
        <w:rPr>
          <w:rFonts w:ascii="Times New Roman" w:hAnsi="Times New Roman" w:cs="Times New Roman"/>
          <w:sz w:val="24"/>
          <w:szCs w:val="24"/>
        </w:rPr>
        <w:t>ustice seekers is</w:t>
      </w:r>
      <w:r w:rsidR="00C50D8C" w:rsidRPr="00FD5CD8">
        <w:rPr>
          <w:rFonts w:ascii="Times New Roman" w:hAnsi="Times New Roman" w:cs="Times New Roman"/>
          <w:sz w:val="24"/>
          <w:szCs w:val="24"/>
        </w:rPr>
        <w:t xml:space="preserve"> to appeal the case </w:t>
      </w:r>
      <w:r w:rsidR="006C385A" w:rsidRPr="00FD5CD8">
        <w:rPr>
          <w:rFonts w:ascii="Times New Roman" w:hAnsi="Times New Roman" w:cs="Times New Roman"/>
          <w:sz w:val="24"/>
          <w:szCs w:val="24"/>
        </w:rPr>
        <w:t xml:space="preserve">to the Ontario Court of Appeal. </w:t>
      </w:r>
    </w:p>
    <w:p w:rsidR="00386A59" w:rsidRPr="00386A59" w:rsidRDefault="00386A59" w:rsidP="00AE61FB">
      <w:pPr>
        <w:spacing w:line="480" w:lineRule="auto"/>
        <w:rPr>
          <w:rFonts w:ascii="Times New Roman" w:hAnsi="Times New Roman" w:cs="Times New Roman"/>
          <w:sz w:val="24"/>
          <w:szCs w:val="24"/>
        </w:rPr>
      </w:pPr>
    </w:p>
    <w:p w:rsidR="009D11A7" w:rsidRDefault="00E322B9" w:rsidP="00AE61FB">
      <w:pPr>
        <w:spacing w:line="480" w:lineRule="auto"/>
        <w:rPr>
          <w:rFonts w:ascii="Times New Roman" w:hAnsi="Times New Roman" w:cs="Times New Roman"/>
          <w:b/>
          <w:sz w:val="24"/>
          <w:szCs w:val="24"/>
        </w:rPr>
      </w:pPr>
      <w:r>
        <w:rPr>
          <w:rFonts w:ascii="Times New Roman" w:hAnsi="Times New Roman" w:cs="Times New Roman"/>
          <w:b/>
          <w:sz w:val="24"/>
          <w:szCs w:val="24"/>
        </w:rPr>
        <w:t>Fraser</w:t>
      </w:r>
      <w:r w:rsidR="00195056" w:rsidRPr="00FD5CD8">
        <w:rPr>
          <w:rFonts w:ascii="Times New Roman" w:hAnsi="Times New Roman" w:cs="Times New Roman"/>
          <w:b/>
          <w:sz w:val="24"/>
          <w:szCs w:val="24"/>
        </w:rPr>
        <w:t xml:space="preserve"> </w:t>
      </w:r>
      <w:r w:rsidR="00194F0C">
        <w:rPr>
          <w:rFonts w:ascii="Times New Roman" w:hAnsi="Times New Roman" w:cs="Times New Roman"/>
          <w:b/>
          <w:sz w:val="24"/>
          <w:szCs w:val="24"/>
        </w:rPr>
        <w:t xml:space="preserve">v. Ontario </w:t>
      </w:r>
      <w:r w:rsidR="00E62129">
        <w:rPr>
          <w:rFonts w:ascii="Times New Roman" w:hAnsi="Times New Roman" w:cs="Times New Roman"/>
          <w:b/>
          <w:sz w:val="24"/>
          <w:szCs w:val="24"/>
        </w:rPr>
        <w:t>2008</w:t>
      </w:r>
      <w:r w:rsidR="004A48E7" w:rsidRPr="00FD5CD8">
        <w:rPr>
          <w:rFonts w:ascii="Times New Roman" w:hAnsi="Times New Roman" w:cs="Times New Roman"/>
          <w:b/>
          <w:sz w:val="24"/>
          <w:szCs w:val="24"/>
        </w:rPr>
        <w:t xml:space="preserve"> </w:t>
      </w:r>
    </w:p>
    <w:p w:rsidR="00CE6B29" w:rsidRDefault="007D24C2" w:rsidP="00C55E81">
      <w:pPr>
        <w:spacing w:line="480" w:lineRule="auto"/>
        <w:ind w:firstLine="720"/>
        <w:rPr>
          <w:rFonts w:ascii="Times New Roman" w:hAnsi="Times New Roman" w:cs="Times New Roman"/>
          <w:sz w:val="24"/>
          <w:szCs w:val="24"/>
        </w:rPr>
      </w:pPr>
      <w:r>
        <w:rPr>
          <w:rFonts w:ascii="Times New Roman" w:hAnsi="Times New Roman" w:cs="Times New Roman"/>
          <w:sz w:val="24"/>
          <w:szCs w:val="24"/>
        </w:rPr>
        <w:t>It is not until a</w:t>
      </w:r>
      <w:r w:rsidR="00D31971" w:rsidRPr="00FD5CD8">
        <w:rPr>
          <w:rFonts w:ascii="Times New Roman" w:hAnsi="Times New Roman" w:cs="Times New Roman"/>
          <w:sz w:val="24"/>
          <w:szCs w:val="24"/>
        </w:rPr>
        <w:t xml:space="preserve"> case</w:t>
      </w:r>
      <w:r>
        <w:rPr>
          <w:rFonts w:ascii="Times New Roman" w:hAnsi="Times New Roman" w:cs="Times New Roman"/>
          <w:sz w:val="24"/>
          <w:szCs w:val="24"/>
        </w:rPr>
        <w:t xml:space="preserve"> brought</w:t>
      </w:r>
      <w:r w:rsidR="00D31971" w:rsidRPr="00FD5CD8">
        <w:rPr>
          <w:rFonts w:ascii="Times New Roman" w:hAnsi="Times New Roman" w:cs="Times New Roman"/>
          <w:sz w:val="24"/>
          <w:szCs w:val="24"/>
        </w:rPr>
        <w:t xml:space="preserve"> to the Ontario Court of Appeal that </w:t>
      </w:r>
      <w:r>
        <w:rPr>
          <w:rFonts w:ascii="Times New Roman" w:hAnsi="Times New Roman" w:cs="Times New Roman"/>
          <w:sz w:val="24"/>
          <w:szCs w:val="24"/>
        </w:rPr>
        <w:t>the decision is</w:t>
      </w:r>
      <w:r w:rsidR="00D31971" w:rsidRPr="00FD5CD8">
        <w:rPr>
          <w:rFonts w:ascii="Times New Roman" w:hAnsi="Times New Roman" w:cs="Times New Roman"/>
          <w:sz w:val="24"/>
          <w:szCs w:val="24"/>
        </w:rPr>
        <w:t xml:space="preserve"> overturned and the AEPA is legally deemed ‘unconstitutional’</w:t>
      </w:r>
      <w:r w:rsidR="00D31971" w:rsidRPr="00FD5CD8">
        <w:rPr>
          <w:rStyle w:val="FootnoteReference"/>
          <w:rFonts w:ascii="Times New Roman" w:hAnsi="Times New Roman" w:cs="Times New Roman"/>
          <w:sz w:val="24"/>
          <w:szCs w:val="24"/>
        </w:rPr>
        <w:footnoteReference w:id="17"/>
      </w:r>
      <w:r w:rsidR="00FF17E0">
        <w:rPr>
          <w:rFonts w:ascii="Times New Roman" w:hAnsi="Times New Roman" w:cs="Times New Roman"/>
          <w:sz w:val="24"/>
          <w:szCs w:val="24"/>
        </w:rPr>
        <w:t xml:space="preserve"> </w:t>
      </w:r>
      <w:r w:rsidR="00D31971" w:rsidRPr="00FD5CD8">
        <w:rPr>
          <w:rFonts w:ascii="Times New Roman" w:hAnsi="Times New Roman" w:cs="Times New Roman"/>
          <w:sz w:val="24"/>
          <w:szCs w:val="24"/>
        </w:rPr>
        <w:t>in 2008</w:t>
      </w:r>
      <w:r w:rsidR="00D31971">
        <w:rPr>
          <w:rFonts w:ascii="Times New Roman" w:hAnsi="Times New Roman" w:cs="Times New Roman"/>
          <w:sz w:val="24"/>
          <w:szCs w:val="24"/>
        </w:rPr>
        <w:t xml:space="preserve"> while the appeal on s. 15 is</w:t>
      </w:r>
      <w:r w:rsidR="00D31971" w:rsidRPr="00FD5CD8">
        <w:rPr>
          <w:rFonts w:ascii="Times New Roman" w:hAnsi="Times New Roman" w:cs="Times New Roman"/>
          <w:sz w:val="24"/>
          <w:szCs w:val="24"/>
        </w:rPr>
        <w:t xml:space="preserve"> dismissed.</w:t>
      </w:r>
      <w:r w:rsidR="002D0A9B">
        <w:rPr>
          <w:rFonts w:ascii="Times New Roman" w:hAnsi="Times New Roman" w:cs="Times New Roman"/>
          <w:sz w:val="24"/>
          <w:szCs w:val="24"/>
        </w:rPr>
        <w:t xml:space="preserve"> </w:t>
      </w:r>
      <w:r w:rsidR="00C94846">
        <w:rPr>
          <w:rFonts w:ascii="Times New Roman" w:hAnsi="Times New Roman" w:cs="Times New Roman"/>
          <w:sz w:val="24"/>
          <w:szCs w:val="24"/>
        </w:rPr>
        <w:t xml:space="preserve">This is the first amicable victory for the agricultural workers. </w:t>
      </w:r>
      <w:r w:rsidR="00B1656D">
        <w:rPr>
          <w:rFonts w:ascii="Times New Roman" w:hAnsi="Times New Roman" w:cs="Times New Roman"/>
          <w:sz w:val="24"/>
          <w:szCs w:val="24"/>
        </w:rPr>
        <w:t>The judge</w:t>
      </w:r>
      <w:r w:rsidR="00D026E7">
        <w:rPr>
          <w:rFonts w:ascii="Times New Roman" w:hAnsi="Times New Roman" w:cs="Times New Roman"/>
          <w:sz w:val="24"/>
          <w:szCs w:val="24"/>
        </w:rPr>
        <w:t xml:space="preserve"> </w:t>
      </w:r>
      <w:r w:rsidR="00D026E7">
        <w:rPr>
          <w:rFonts w:ascii="Times New Roman" w:hAnsi="Times New Roman" w:cs="Times New Roman"/>
          <w:sz w:val="24"/>
          <w:szCs w:val="24"/>
        </w:rPr>
        <w:lastRenderedPageBreak/>
        <w:t>overrules by declaring that the violation of section 2(d) is not saved by section 1 of the Charter.</w:t>
      </w:r>
      <w:r w:rsidR="00D026E7">
        <w:rPr>
          <w:rStyle w:val="FootnoteReference"/>
          <w:rFonts w:ascii="Times New Roman" w:hAnsi="Times New Roman" w:cs="Times New Roman"/>
          <w:sz w:val="24"/>
          <w:szCs w:val="24"/>
        </w:rPr>
        <w:footnoteReference w:id="18"/>
      </w:r>
      <w:r w:rsidR="00A66FE7">
        <w:rPr>
          <w:rFonts w:ascii="Times New Roman" w:hAnsi="Times New Roman" w:cs="Times New Roman"/>
          <w:sz w:val="24"/>
          <w:szCs w:val="24"/>
        </w:rPr>
        <w:t xml:space="preserve"> </w:t>
      </w:r>
      <w:r w:rsidR="00B1656D">
        <w:rPr>
          <w:rFonts w:ascii="Times New Roman" w:hAnsi="Times New Roman" w:cs="Times New Roman"/>
          <w:sz w:val="24"/>
          <w:szCs w:val="24"/>
        </w:rPr>
        <w:t>He</w:t>
      </w:r>
      <w:r w:rsidR="00A66FE7">
        <w:rPr>
          <w:rFonts w:ascii="Times New Roman" w:hAnsi="Times New Roman" w:cs="Times New Roman"/>
          <w:sz w:val="24"/>
          <w:szCs w:val="24"/>
        </w:rPr>
        <w:t xml:space="preserve"> also declares the AEPA as unconstitutional</w:t>
      </w:r>
      <w:r w:rsidR="00CE6B29">
        <w:rPr>
          <w:rFonts w:ascii="Times New Roman" w:hAnsi="Times New Roman" w:cs="Times New Roman"/>
          <w:sz w:val="24"/>
          <w:szCs w:val="24"/>
        </w:rPr>
        <w:t>; according to whom the AEPA miss</w:t>
      </w:r>
      <w:r w:rsidR="00B03020">
        <w:rPr>
          <w:rFonts w:ascii="Times New Roman" w:hAnsi="Times New Roman" w:cs="Times New Roman"/>
          <w:sz w:val="24"/>
          <w:szCs w:val="24"/>
        </w:rPr>
        <w:t>es</w:t>
      </w:r>
      <w:r w:rsidR="00CE6B29">
        <w:rPr>
          <w:rFonts w:ascii="Times New Roman" w:hAnsi="Times New Roman" w:cs="Times New Roman"/>
          <w:sz w:val="24"/>
          <w:szCs w:val="24"/>
        </w:rPr>
        <w:t xml:space="preserve"> key obligations</w:t>
      </w:r>
      <w:r w:rsidR="00A66FE7">
        <w:rPr>
          <w:rFonts w:ascii="Times New Roman" w:hAnsi="Times New Roman" w:cs="Times New Roman"/>
          <w:sz w:val="24"/>
          <w:szCs w:val="24"/>
        </w:rPr>
        <w:t>.</w:t>
      </w:r>
      <w:r w:rsidR="00CE6B29">
        <w:rPr>
          <w:rFonts w:ascii="Times New Roman" w:hAnsi="Times New Roman" w:cs="Times New Roman"/>
          <w:sz w:val="24"/>
          <w:szCs w:val="24"/>
        </w:rPr>
        <w:t xml:space="preserve"> </w:t>
      </w:r>
    </w:p>
    <w:p w:rsidR="00CE6B29" w:rsidRPr="00CE6B29" w:rsidRDefault="00CE6B29" w:rsidP="00AE61FB">
      <w:pPr>
        <w:spacing w:line="480" w:lineRule="auto"/>
        <w:ind w:left="864" w:right="864"/>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rPr>
        <w:t xml:space="preserve">It does not impose an obligation on employers to bargain in good faith - or, indeed, to bargain at all - with an employees' association. The </w:t>
      </w:r>
      <w:r>
        <w:rPr>
          <w:rFonts w:ascii="Times New Roman" w:hAnsi="Times New Roman" w:cs="Times New Roman"/>
          <w:i/>
          <w:iCs/>
        </w:rPr>
        <w:t>AEPA</w:t>
      </w:r>
      <w:r>
        <w:rPr>
          <w:rFonts w:ascii="Times New Roman" w:hAnsi="Times New Roman" w:cs="Times New Roman"/>
        </w:rPr>
        <w:t xml:space="preserve"> does not include mechanisms to resolve either bargaining impasses or disputes regarding the interpretation or administration of the collective agreement. Another notable omission from the legislation is that it does not preclude the formation of multiple employees' associations within a single workplace, purporting to simultaneously represent employees in that same workplace with similar job functions.”</w:t>
      </w:r>
      <w:r>
        <w:rPr>
          <w:rStyle w:val="FootnoteReference"/>
          <w:rFonts w:ascii="Times New Roman" w:hAnsi="Times New Roman" w:cs="Times New Roman"/>
        </w:rPr>
        <w:footnoteReference w:id="19"/>
      </w:r>
    </w:p>
    <w:p w:rsidR="007C141B" w:rsidRDefault="004B440A" w:rsidP="00AE61FB">
      <w:pPr>
        <w:spacing w:line="480" w:lineRule="auto"/>
        <w:rPr>
          <w:rFonts w:ascii="Times New Roman" w:hAnsi="Times New Roman" w:cs="Times New Roman"/>
          <w:i/>
          <w:sz w:val="24"/>
          <w:szCs w:val="24"/>
        </w:rPr>
      </w:pPr>
      <w:r>
        <w:rPr>
          <w:rFonts w:ascii="Times New Roman" w:hAnsi="Times New Roman" w:cs="Times New Roman"/>
          <w:sz w:val="24"/>
          <w:szCs w:val="24"/>
        </w:rPr>
        <w:t xml:space="preserve"> </w:t>
      </w:r>
      <w:r w:rsidR="00FF17E0">
        <w:rPr>
          <w:rFonts w:ascii="Times New Roman" w:hAnsi="Times New Roman" w:cs="Times New Roman"/>
          <w:sz w:val="24"/>
          <w:szCs w:val="24"/>
        </w:rPr>
        <w:t xml:space="preserve"> </w:t>
      </w:r>
      <w:r w:rsidR="00E7759A">
        <w:rPr>
          <w:rFonts w:ascii="Times New Roman" w:hAnsi="Times New Roman" w:cs="Times New Roman"/>
          <w:sz w:val="24"/>
          <w:szCs w:val="24"/>
        </w:rPr>
        <w:t xml:space="preserve"> </w:t>
      </w:r>
      <w:r w:rsidR="00007148">
        <w:rPr>
          <w:rFonts w:ascii="Times New Roman" w:hAnsi="Times New Roman" w:cs="Times New Roman"/>
          <w:sz w:val="24"/>
          <w:szCs w:val="24"/>
        </w:rPr>
        <w:t xml:space="preserve"> </w:t>
      </w:r>
      <w:r w:rsidR="00B03020">
        <w:rPr>
          <w:rFonts w:ascii="Times New Roman" w:hAnsi="Times New Roman" w:cs="Times New Roman"/>
          <w:sz w:val="24"/>
          <w:szCs w:val="24"/>
        </w:rPr>
        <w:t>However, he does not rule that the claims made on section 15 are valid since the agricultural workers a</w:t>
      </w:r>
      <w:r w:rsidR="00C613A4">
        <w:rPr>
          <w:rFonts w:ascii="Times New Roman" w:hAnsi="Times New Roman" w:cs="Times New Roman"/>
          <w:sz w:val="24"/>
          <w:szCs w:val="24"/>
        </w:rPr>
        <w:t>re essentially treated</w:t>
      </w:r>
      <w:r w:rsidR="00B03020">
        <w:rPr>
          <w:rFonts w:ascii="Times New Roman" w:hAnsi="Times New Roman" w:cs="Times New Roman"/>
          <w:sz w:val="24"/>
          <w:szCs w:val="24"/>
        </w:rPr>
        <w:t xml:space="preserve"> </w:t>
      </w:r>
      <w:r w:rsidR="0006730E">
        <w:rPr>
          <w:rFonts w:ascii="Times New Roman" w:hAnsi="Times New Roman" w:cs="Times New Roman"/>
          <w:sz w:val="24"/>
          <w:szCs w:val="24"/>
        </w:rPr>
        <w:t>equally</w:t>
      </w:r>
      <w:r w:rsidR="00B03020">
        <w:rPr>
          <w:rFonts w:ascii="Times New Roman" w:hAnsi="Times New Roman" w:cs="Times New Roman"/>
          <w:sz w:val="24"/>
          <w:szCs w:val="24"/>
        </w:rPr>
        <w:t xml:space="preserve">, “…not denied any </w:t>
      </w:r>
      <w:r w:rsidR="00B03020">
        <w:rPr>
          <w:rFonts w:ascii="Times New Roman" w:hAnsi="Times New Roman" w:cs="Times New Roman"/>
        </w:rPr>
        <w:t>benefit or protection on the basis of an enumerated or analogous ground</w:t>
      </w:r>
      <w:r w:rsidR="006A2DA7">
        <w:rPr>
          <w:rFonts w:ascii="Times New Roman" w:hAnsi="Times New Roman" w:cs="Times New Roman"/>
        </w:rPr>
        <w:t>.</w:t>
      </w:r>
      <w:r w:rsidR="00B03020">
        <w:rPr>
          <w:rFonts w:ascii="Times New Roman" w:hAnsi="Times New Roman" w:cs="Times New Roman"/>
        </w:rPr>
        <w:t>”</w:t>
      </w:r>
      <w:r w:rsidR="00B03020">
        <w:rPr>
          <w:rStyle w:val="FootnoteReference"/>
          <w:rFonts w:ascii="Times New Roman" w:hAnsi="Times New Roman" w:cs="Times New Roman"/>
        </w:rPr>
        <w:footnoteReference w:id="20"/>
      </w:r>
      <w:r w:rsidR="006A2DA7">
        <w:rPr>
          <w:rFonts w:ascii="Times New Roman" w:hAnsi="Times New Roman" w:cs="Times New Roman"/>
        </w:rPr>
        <w:t xml:space="preserve"> </w:t>
      </w:r>
      <w:r w:rsidR="006E75BA">
        <w:rPr>
          <w:rFonts w:ascii="Times New Roman" w:hAnsi="Times New Roman" w:cs="Times New Roman"/>
        </w:rPr>
        <w:t xml:space="preserve">All in all </w:t>
      </w:r>
      <w:r w:rsidR="006E75BA">
        <w:rPr>
          <w:rFonts w:ascii="Times New Roman" w:hAnsi="Times New Roman" w:cs="Times New Roman"/>
          <w:sz w:val="24"/>
          <w:szCs w:val="24"/>
        </w:rPr>
        <w:t xml:space="preserve">the agricultural workers are someone justified by the AEPA being ended thus bringing the issue back to square one amidst the creation of new precedents within the law. </w:t>
      </w:r>
      <w:r w:rsidR="006A2DA7">
        <w:rPr>
          <w:rFonts w:ascii="Times New Roman" w:hAnsi="Times New Roman" w:cs="Times New Roman"/>
        </w:rPr>
        <w:t xml:space="preserve">An important case to consider throughout the agricultural workers’ battle is the </w:t>
      </w:r>
      <w:r w:rsidR="006A2DA7" w:rsidRPr="006A2DA7">
        <w:rPr>
          <w:rFonts w:ascii="Times New Roman" w:hAnsi="Times New Roman" w:cs="Times New Roman"/>
          <w:i/>
        </w:rPr>
        <w:t>B.C.</w:t>
      </w:r>
      <w:r w:rsidR="006A2DA7">
        <w:rPr>
          <w:rFonts w:ascii="Times New Roman" w:hAnsi="Times New Roman" w:cs="Times New Roman"/>
        </w:rPr>
        <w:t xml:space="preserve"> </w:t>
      </w:r>
      <w:r w:rsidR="006A2DA7">
        <w:rPr>
          <w:rFonts w:ascii="Times New Roman" w:hAnsi="Times New Roman" w:cs="Times New Roman"/>
          <w:i/>
        </w:rPr>
        <w:t>Health Services and Support case</w:t>
      </w:r>
      <w:r w:rsidR="00615E4F">
        <w:rPr>
          <w:rFonts w:ascii="Times New Roman" w:hAnsi="Times New Roman" w:cs="Times New Roman"/>
          <w:i/>
        </w:rPr>
        <w:t xml:space="preserve"> (2007)</w:t>
      </w:r>
      <w:r w:rsidR="00DB2DCF">
        <w:rPr>
          <w:rFonts w:ascii="Times New Roman" w:hAnsi="Times New Roman" w:cs="Times New Roman"/>
        </w:rPr>
        <w:t xml:space="preserve"> who’s outcome plays a major role in influencing both </w:t>
      </w:r>
      <w:r w:rsidR="00DB2DCF" w:rsidRPr="00DB2DCF">
        <w:rPr>
          <w:rFonts w:ascii="Times New Roman" w:hAnsi="Times New Roman" w:cs="Times New Roman"/>
          <w:i/>
        </w:rPr>
        <w:t xml:space="preserve">Fraser v. Ontario 2008 </w:t>
      </w:r>
      <w:r w:rsidR="00DB2DCF">
        <w:rPr>
          <w:rFonts w:ascii="Times New Roman" w:hAnsi="Times New Roman" w:cs="Times New Roman"/>
        </w:rPr>
        <w:t xml:space="preserve">and </w:t>
      </w:r>
      <w:r w:rsidR="00DB2DCF" w:rsidRPr="00DB2DCF">
        <w:rPr>
          <w:rFonts w:ascii="Times New Roman" w:hAnsi="Times New Roman" w:cs="Times New Roman"/>
          <w:i/>
        </w:rPr>
        <w:t>Fraser v. Ontario 2011</w:t>
      </w:r>
      <w:r w:rsidR="006A2DA7">
        <w:rPr>
          <w:rFonts w:ascii="Times New Roman" w:hAnsi="Times New Roman" w:cs="Times New Roman"/>
          <w:i/>
        </w:rPr>
        <w:t>.</w:t>
      </w:r>
    </w:p>
    <w:p w:rsidR="00386A59" w:rsidRPr="00535327" w:rsidRDefault="00386A59" w:rsidP="00AE61FB">
      <w:pPr>
        <w:spacing w:line="480" w:lineRule="auto"/>
        <w:rPr>
          <w:rFonts w:ascii="Times New Roman" w:hAnsi="Times New Roman" w:cs="Times New Roman"/>
          <w:i/>
          <w:sz w:val="24"/>
          <w:szCs w:val="24"/>
        </w:rPr>
      </w:pPr>
    </w:p>
    <w:p w:rsidR="007C141B" w:rsidRPr="00E62129" w:rsidRDefault="00E322B9" w:rsidP="00AE61FB">
      <w:pPr>
        <w:spacing w:line="480" w:lineRule="auto"/>
        <w:rPr>
          <w:rFonts w:ascii="Times New Roman" w:hAnsi="Times New Roman" w:cs="Times New Roman"/>
          <w:b/>
          <w:sz w:val="24"/>
          <w:szCs w:val="24"/>
        </w:rPr>
      </w:pPr>
      <w:r>
        <w:rPr>
          <w:rFonts w:ascii="Times New Roman" w:hAnsi="Times New Roman" w:cs="Times New Roman"/>
          <w:b/>
          <w:sz w:val="24"/>
          <w:szCs w:val="24"/>
        </w:rPr>
        <w:t>B.C. Health Services and Support case; precedent</w:t>
      </w:r>
    </w:p>
    <w:p w:rsidR="00B615EA" w:rsidRDefault="00D31BFF" w:rsidP="00C55E81">
      <w:pPr>
        <w:spacing w:line="480" w:lineRule="auto"/>
        <w:ind w:firstLine="720"/>
        <w:rPr>
          <w:rFonts w:ascii="Times New Roman" w:hAnsi="Times New Roman" w:cs="Times New Roman"/>
          <w:sz w:val="24"/>
          <w:szCs w:val="24"/>
        </w:rPr>
      </w:pPr>
      <w:proofErr w:type="gramStart"/>
      <w:r w:rsidRPr="00FD5CD8">
        <w:rPr>
          <w:rFonts w:ascii="Times New Roman" w:hAnsi="Times New Roman" w:cs="Times New Roman"/>
          <w:sz w:val="24"/>
          <w:szCs w:val="24"/>
        </w:rPr>
        <w:lastRenderedPageBreak/>
        <w:t xml:space="preserve">The </w:t>
      </w:r>
      <w:r w:rsidRPr="00FD5CD8">
        <w:rPr>
          <w:rFonts w:ascii="Times New Roman" w:hAnsi="Times New Roman" w:cs="Times New Roman"/>
          <w:i/>
          <w:sz w:val="24"/>
          <w:szCs w:val="24"/>
        </w:rPr>
        <w:t>B.C.</w:t>
      </w:r>
      <w:proofErr w:type="gramEnd"/>
      <w:r w:rsidRPr="00FD5CD8">
        <w:rPr>
          <w:rFonts w:ascii="Times New Roman" w:hAnsi="Times New Roman" w:cs="Times New Roman"/>
          <w:i/>
          <w:sz w:val="24"/>
          <w:szCs w:val="24"/>
        </w:rPr>
        <w:t xml:space="preserve">  Health Services and Support</w:t>
      </w:r>
      <w:r w:rsidRPr="00FD5CD8">
        <w:rPr>
          <w:rFonts w:ascii="Times New Roman" w:hAnsi="Times New Roman" w:cs="Times New Roman"/>
          <w:sz w:val="24"/>
          <w:szCs w:val="24"/>
        </w:rPr>
        <w:t xml:space="preserve"> case, [2007] 2 S.C.R. 391</w:t>
      </w:r>
      <w:r w:rsidRPr="00FD5CD8">
        <w:rPr>
          <w:rStyle w:val="FootnoteReference"/>
          <w:rFonts w:ascii="Times New Roman" w:hAnsi="Times New Roman" w:cs="Times New Roman"/>
          <w:sz w:val="24"/>
          <w:szCs w:val="24"/>
        </w:rPr>
        <w:footnoteReference w:id="21"/>
      </w:r>
      <w:r w:rsidR="00995EED" w:rsidRPr="00FD5CD8">
        <w:rPr>
          <w:rFonts w:ascii="Times New Roman" w:hAnsi="Times New Roman" w:cs="Times New Roman"/>
          <w:sz w:val="24"/>
          <w:szCs w:val="24"/>
        </w:rPr>
        <w:t xml:space="preserve"> </w:t>
      </w:r>
      <w:r w:rsidRPr="00FD5CD8">
        <w:rPr>
          <w:rFonts w:ascii="Times New Roman" w:hAnsi="Times New Roman" w:cs="Times New Roman"/>
          <w:sz w:val="24"/>
          <w:szCs w:val="24"/>
        </w:rPr>
        <w:t>brings forward an influential perspective on the</w:t>
      </w:r>
      <w:r w:rsidRPr="00FD5CD8">
        <w:rPr>
          <w:rStyle w:val="apple-style-span"/>
          <w:rFonts w:ascii="Times New Roman" w:hAnsi="Times New Roman" w:cs="Times New Roman"/>
          <w:bCs/>
          <w:i/>
          <w:color w:val="000000"/>
          <w:sz w:val="24"/>
          <w:szCs w:val="24"/>
          <w:shd w:val="clear" w:color="auto" w:fill="FFFFFF"/>
        </w:rPr>
        <w:t xml:space="preserve"> </w:t>
      </w:r>
      <w:proofErr w:type="spellStart"/>
      <w:r w:rsidRPr="00FD5CD8">
        <w:rPr>
          <w:rStyle w:val="apple-style-span"/>
          <w:rFonts w:ascii="Times New Roman" w:hAnsi="Times New Roman" w:cs="Times New Roman"/>
          <w:bCs/>
          <w:i/>
          <w:color w:val="000000"/>
          <w:sz w:val="24"/>
          <w:szCs w:val="24"/>
          <w:shd w:val="clear" w:color="auto" w:fill="FFFFFF"/>
        </w:rPr>
        <w:t>Ont</w:t>
      </w:r>
      <w:proofErr w:type="spellEnd"/>
      <w:r w:rsidRPr="00FD5CD8">
        <w:rPr>
          <w:rStyle w:val="apple-style-span"/>
          <w:rFonts w:ascii="Times New Roman" w:hAnsi="Times New Roman" w:cs="Times New Roman"/>
          <w:bCs/>
          <w:i/>
          <w:color w:val="000000"/>
          <w:sz w:val="24"/>
          <w:szCs w:val="24"/>
          <w:shd w:val="clear" w:color="auto" w:fill="FFFFFF"/>
        </w:rPr>
        <w:t xml:space="preserve"> v. Fraser.2011scc20 </w:t>
      </w:r>
      <w:r w:rsidRPr="00FD5CD8">
        <w:rPr>
          <w:rStyle w:val="apple-style-span"/>
          <w:rFonts w:ascii="Times New Roman" w:hAnsi="Times New Roman" w:cs="Times New Roman"/>
          <w:bCs/>
          <w:color w:val="000000"/>
          <w:sz w:val="24"/>
          <w:szCs w:val="24"/>
          <w:shd w:val="clear" w:color="auto" w:fill="FFFFFF"/>
        </w:rPr>
        <w:t>case with regards to defining the interpretive limitations</w:t>
      </w:r>
      <w:r w:rsidRPr="00FD5CD8">
        <w:rPr>
          <w:rFonts w:ascii="Times New Roman" w:hAnsi="Times New Roman" w:cs="Times New Roman"/>
          <w:sz w:val="24"/>
          <w:szCs w:val="24"/>
        </w:rPr>
        <w:t xml:space="preserve"> surrounding section 2(d) of the </w:t>
      </w:r>
      <w:r w:rsidR="00D64A08" w:rsidRPr="00FD5CD8">
        <w:rPr>
          <w:rFonts w:ascii="Times New Roman" w:hAnsi="Times New Roman" w:cs="Times New Roman"/>
          <w:sz w:val="24"/>
          <w:szCs w:val="24"/>
        </w:rPr>
        <w:t xml:space="preserve">Canadian </w:t>
      </w:r>
      <w:r w:rsidRPr="00FD5CD8">
        <w:rPr>
          <w:rFonts w:ascii="Times New Roman" w:hAnsi="Times New Roman" w:cs="Times New Roman"/>
          <w:sz w:val="24"/>
          <w:szCs w:val="24"/>
        </w:rPr>
        <w:t>Charter</w:t>
      </w:r>
      <w:r w:rsidR="00D64A08" w:rsidRPr="00FD5CD8">
        <w:rPr>
          <w:rFonts w:ascii="Times New Roman" w:hAnsi="Times New Roman" w:cs="Times New Roman"/>
          <w:sz w:val="24"/>
          <w:szCs w:val="24"/>
        </w:rPr>
        <w:t xml:space="preserve"> of Rights and Freedoms</w:t>
      </w:r>
      <w:r w:rsidRPr="00FD5CD8">
        <w:rPr>
          <w:rFonts w:ascii="Times New Roman" w:hAnsi="Times New Roman" w:cs="Times New Roman"/>
          <w:sz w:val="24"/>
          <w:szCs w:val="24"/>
        </w:rPr>
        <w:t>.</w:t>
      </w:r>
      <w:r w:rsidR="00456B6C" w:rsidRPr="00FD5CD8">
        <w:rPr>
          <w:rFonts w:ascii="Times New Roman" w:hAnsi="Times New Roman" w:cs="Times New Roman"/>
          <w:sz w:val="24"/>
          <w:szCs w:val="24"/>
        </w:rPr>
        <w:t xml:space="preserve"> </w:t>
      </w:r>
      <w:r w:rsidR="00493F26" w:rsidRPr="00FD5CD8">
        <w:rPr>
          <w:rFonts w:ascii="Times New Roman" w:hAnsi="Times New Roman" w:cs="Times New Roman"/>
          <w:sz w:val="24"/>
          <w:szCs w:val="24"/>
        </w:rPr>
        <w:t xml:space="preserve"> </w:t>
      </w:r>
      <w:r w:rsidRPr="00FD5CD8">
        <w:rPr>
          <w:rFonts w:ascii="Times New Roman" w:hAnsi="Times New Roman" w:cs="Times New Roman"/>
          <w:sz w:val="24"/>
          <w:szCs w:val="24"/>
        </w:rPr>
        <w:t xml:space="preserve">The </w:t>
      </w:r>
      <w:r w:rsidRPr="00FD5CD8">
        <w:rPr>
          <w:rFonts w:ascii="Times New Roman" w:hAnsi="Times New Roman" w:cs="Times New Roman"/>
          <w:i/>
          <w:sz w:val="24"/>
          <w:szCs w:val="24"/>
        </w:rPr>
        <w:t xml:space="preserve">B.C. Health Services and Support </w:t>
      </w:r>
      <w:r w:rsidRPr="00FD5CD8">
        <w:rPr>
          <w:rFonts w:ascii="Times New Roman" w:hAnsi="Times New Roman" w:cs="Times New Roman"/>
          <w:sz w:val="24"/>
          <w:szCs w:val="24"/>
        </w:rPr>
        <w:t xml:space="preserve">case </w:t>
      </w:r>
      <w:r w:rsidR="00CC1F9D" w:rsidRPr="00FD5CD8">
        <w:rPr>
          <w:rFonts w:ascii="Times New Roman" w:hAnsi="Times New Roman" w:cs="Times New Roman"/>
          <w:sz w:val="24"/>
          <w:szCs w:val="24"/>
        </w:rPr>
        <w:t xml:space="preserve">provides insight into section 2(d) by allowing the judge to ponder </w:t>
      </w:r>
      <w:r w:rsidR="001435BC" w:rsidRPr="00FD5CD8">
        <w:rPr>
          <w:rFonts w:ascii="Times New Roman" w:hAnsi="Times New Roman" w:cs="Times New Roman"/>
          <w:sz w:val="24"/>
          <w:szCs w:val="24"/>
        </w:rPr>
        <w:t>it</w:t>
      </w:r>
      <w:r w:rsidR="00D64A08" w:rsidRPr="00FD5CD8">
        <w:rPr>
          <w:rFonts w:ascii="Times New Roman" w:hAnsi="Times New Roman" w:cs="Times New Roman"/>
          <w:sz w:val="24"/>
          <w:szCs w:val="24"/>
        </w:rPr>
        <w:t xml:space="preserve">s jurisdiction given </w:t>
      </w:r>
      <w:r w:rsidR="00CA35C5" w:rsidRPr="00FD5CD8">
        <w:rPr>
          <w:rFonts w:ascii="Times New Roman" w:hAnsi="Times New Roman" w:cs="Times New Roman"/>
          <w:sz w:val="24"/>
          <w:szCs w:val="24"/>
        </w:rPr>
        <w:t xml:space="preserve">a precedent which provides </w:t>
      </w:r>
      <w:r w:rsidR="00D64A08" w:rsidRPr="00FD5CD8">
        <w:rPr>
          <w:rFonts w:ascii="Times New Roman" w:hAnsi="Times New Roman" w:cs="Times New Roman"/>
          <w:sz w:val="24"/>
          <w:szCs w:val="24"/>
        </w:rPr>
        <w:t>an</w:t>
      </w:r>
      <w:r w:rsidR="001435BC" w:rsidRPr="00FD5CD8">
        <w:rPr>
          <w:rFonts w:ascii="Times New Roman" w:hAnsi="Times New Roman" w:cs="Times New Roman"/>
          <w:sz w:val="24"/>
          <w:szCs w:val="24"/>
        </w:rPr>
        <w:t xml:space="preserve"> alternative interpretation for defining the boundaries surrounding collective bargaining rights. The outcome of this case provides</w:t>
      </w:r>
      <w:r w:rsidR="008606F6" w:rsidRPr="00FD5CD8">
        <w:rPr>
          <w:rFonts w:ascii="Times New Roman" w:hAnsi="Times New Roman" w:cs="Times New Roman"/>
          <w:sz w:val="24"/>
          <w:szCs w:val="24"/>
        </w:rPr>
        <w:t xml:space="preserve"> a precedent by</w:t>
      </w:r>
      <w:r w:rsidR="001435BC" w:rsidRPr="00FD5CD8">
        <w:rPr>
          <w:rFonts w:ascii="Times New Roman" w:hAnsi="Times New Roman" w:cs="Times New Roman"/>
          <w:sz w:val="24"/>
          <w:szCs w:val="24"/>
        </w:rPr>
        <w:t xml:space="preserve"> specifying that section 2(d)</w:t>
      </w:r>
      <w:r w:rsidR="002D6EA6" w:rsidRPr="00FD5CD8">
        <w:rPr>
          <w:rFonts w:ascii="Times New Roman" w:hAnsi="Times New Roman" w:cs="Times New Roman"/>
          <w:sz w:val="24"/>
          <w:szCs w:val="24"/>
        </w:rPr>
        <w:t xml:space="preserve"> is in place to protect the rights of workers that wish to organize, participate in valid collective bargaining</w:t>
      </w:r>
      <w:r w:rsidR="00AC61A1" w:rsidRPr="00FD5CD8">
        <w:rPr>
          <w:rFonts w:ascii="Times New Roman" w:hAnsi="Times New Roman" w:cs="Times New Roman"/>
          <w:sz w:val="24"/>
          <w:szCs w:val="24"/>
        </w:rPr>
        <w:t xml:space="preserve">. </w:t>
      </w:r>
      <w:r w:rsidR="00E82CD2" w:rsidRPr="00FD5CD8">
        <w:rPr>
          <w:rFonts w:ascii="Times New Roman" w:hAnsi="Times New Roman" w:cs="Times New Roman"/>
          <w:sz w:val="24"/>
          <w:szCs w:val="24"/>
        </w:rPr>
        <w:t xml:space="preserve">The outcome of this case is important to understand because it goes against the Supreme Courts initial decision rejecting that the Charter protects collective bargaining rights during the 1987 </w:t>
      </w:r>
      <w:r w:rsidR="00221155" w:rsidRPr="00FD5CD8">
        <w:rPr>
          <w:rFonts w:ascii="Times New Roman" w:hAnsi="Times New Roman" w:cs="Times New Roman"/>
          <w:sz w:val="24"/>
          <w:szCs w:val="24"/>
        </w:rPr>
        <w:t xml:space="preserve">case regarding the </w:t>
      </w:r>
      <w:r w:rsidR="00E82CD2" w:rsidRPr="00FD5CD8">
        <w:rPr>
          <w:rFonts w:ascii="Times New Roman" w:hAnsi="Times New Roman" w:cs="Times New Roman"/>
          <w:i/>
          <w:sz w:val="24"/>
          <w:szCs w:val="24"/>
        </w:rPr>
        <w:t>Public Service Employee Relations Act (Alta.),</w:t>
      </w:r>
      <w:r w:rsidR="00E82CD2" w:rsidRPr="00FD5CD8">
        <w:rPr>
          <w:rFonts w:ascii="Times New Roman" w:hAnsi="Times New Roman" w:cs="Times New Roman"/>
          <w:sz w:val="24"/>
          <w:szCs w:val="24"/>
        </w:rPr>
        <w:t xml:space="preserve"> [1987]1 S.C.R. 313 </w:t>
      </w:r>
      <w:r w:rsidR="00E82CD2" w:rsidRPr="00FD5CD8">
        <w:rPr>
          <w:rFonts w:ascii="Times New Roman" w:hAnsi="Times New Roman" w:cs="Times New Roman"/>
          <w:i/>
          <w:sz w:val="24"/>
          <w:szCs w:val="24"/>
        </w:rPr>
        <w:t xml:space="preserve">(“Alberta </w:t>
      </w:r>
      <w:proofErr w:type="spellStart"/>
      <w:r w:rsidR="00E82CD2" w:rsidRPr="00FD5CD8">
        <w:rPr>
          <w:rFonts w:ascii="Times New Roman" w:hAnsi="Times New Roman" w:cs="Times New Roman"/>
          <w:i/>
          <w:sz w:val="24"/>
          <w:szCs w:val="24"/>
        </w:rPr>
        <w:t>Labour</w:t>
      </w:r>
      <w:proofErr w:type="spellEnd"/>
      <w:r w:rsidR="00E82CD2" w:rsidRPr="00FD5CD8">
        <w:rPr>
          <w:rFonts w:ascii="Times New Roman" w:hAnsi="Times New Roman" w:cs="Times New Roman"/>
          <w:i/>
          <w:sz w:val="24"/>
          <w:szCs w:val="24"/>
        </w:rPr>
        <w:t xml:space="preserve"> Reference”)</w:t>
      </w:r>
      <w:r w:rsidR="00382298" w:rsidRPr="00FD5CD8">
        <w:rPr>
          <w:rStyle w:val="FootnoteReference"/>
          <w:rFonts w:ascii="Times New Roman" w:hAnsi="Times New Roman" w:cs="Times New Roman"/>
          <w:i/>
          <w:sz w:val="24"/>
          <w:szCs w:val="24"/>
        </w:rPr>
        <w:footnoteReference w:id="22"/>
      </w:r>
      <w:r w:rsidR="00E82CD2" w:rsidRPr="00FD5CD8">
        <w:rPr>
          <w:rFonts w:ascii="Times New Roman" w:hAnsi="Times New Roman" w:cs="Times New Roman"/>
          <w:i/>
          <w:sz w:val="24"/>
          <w:szCs w:val="24"/>
        </w:rPr>
        <w:t xml:space="preserve">. </w:t>
      </w:r>
      <w:r w:rsidR="00E107BD" w:rsidRPr="00FD5CD8">
        <w:rPr>
          <w:rFonts w:ascii="Times New Roman" w:hAnsi="Times New Roman" w:cs="Times New Roman"/>
          <w:sz w:val="24"/>
          <w:szCs w:val="24"/>
        </w:rPr>
        <w:t>It demonstrates the results of the Courts’ willingness to allow a shift in their defining limitations.</w:t>
      </w:r>
      <w:r w:rsidR="00490ED0" w:rsidRPr="00FD5CD8">
        <w:rPr>
          <w:rFonts w:ascii="Times New Roman" w:hAnsi="Times New Roman" w:cs="Times New Roman"/>
          <w:sz w:val="24"/>
          <w:szCs w:val="24"/>
        </w:rPr>
        <w:t xml:space="preserve"> </w:t>
      </w:r>
      <w:r w:rsidR="00E107BD" w:rsidRPr="00FD5CD8">
        <w:rPr>
          <w:rFonts w:ascii="Times New Roman" w:hAnsi="Times New Roman" w:cs="Times New Roman"/>
          <w:sz w:val="24"/>
          <w:szCs w:val="24"/>
        </w:rPr>
        <w:t>The Court “hinted that it was prepared to reassess its narrow interpretation of freedom of association.”</w:t>
      </w:r>
      <w:r w:rsidR="00506CD5" w:rsidRPr="00FD5CD8">
        <w:rPr>
          <w:rStyle w:val="FootnoteReference"/>
          <w:rFonts w:ascii="Times New Roman" w:hAnsi="Times New Roman" w:cs="Times New Roman"/>
          <w:sz w:val="24"/>
          <w:szCs w:val="24"/>
        </w:rPr>
        <w:footnoteReference w:id="23"/>
      </w:r>
      <w:r w:rsidR="006A24BB" w:rsidRPr="00FD5CD8">
        <w:rPr>
          <w:rFonts w:ascii="Times New Roman" w:hAnsi="Times New Roman" w:cs="Times New Roman"/>
          <w:sz w:val="24"/>
          <w:szCs w:val="24"/>
        </w:rPr>
        <w:t xml:space="preserve"> </w:t>
      </w:r>
      <w:proofErr w:type="gramStart"/>
      <w:r w:rsidR="006A24BB" w:rsidRPr="00FD5CD8">
        <w:rPr>
          <w:rFonts w:ascii="Times New Roman" w:hAnsi="Times New Roman" w:cs="Times New Roman"/>
          <w:sz w:val="24"/>
          <w:szCs w:val="24"/>
        </w:rPr>
        <w:t>prior</w:t>
      </w:r>
      <w:proofErr w:type="gramEnd"/>
      <w:r w:rsidR="006A24BB" w:rsidRPr="00FD5CD8">
        <w:rPr>
          <w:rFonts w:ascii="Times New Roman" w:hAnsi="Times New Roman" w:cs="Times New Roman"/>
          <w:sz w:val="24"/>
          <w:szCs w:val="24"/>
        </w:rPr>
        <w:t xml:space="preserve"> to this case.</w:t>
      </w:r>
      <w:r w:rsidR="00E107BD" w:rsidRPr="00FD5CD8">
        <w:rPr>
          <w:rFonts w:ascii="Times New Roman" w:hAnsi="Times New Roman" w:cs="Times New Roman"/>
          <w:sz w:val="24"/>
          <w:szCs w:val="24"/>
        </w:rPr>
        <w:t xml:space="preserve"> This was done through the </w:t>
      </w:r>
      <w:r w:rsidR="006A24BB" w:rsidRPr="00FD5CD8">
        <w:rPr>
          <w:rFonts w:ascii="Times New Roman" w:hAnsi="Times New Roman" w:cs="Times New Roman"/>
          <w:sz w:val="24"/>
          <w:szCs w:val="24"/>
        </w:rPr>
        <w:t xml:space="preserve">2001 </w:t>
      </w:r>
      <w:r w:rsidR="00E107BD" w:rsidRPr="00FD5CD8">
        <w:rPr>
          <w:rFonts w:ascii="Times New Roman" w:hAnsi="Times New Roman" w:cs="Times New Roman"/>
          <w:i/>
          <w:sz w:val="24"/>
          <w:szCs w:val="24"/>
        </w:rPr>
        <w:t xml:space="preserve">Dunmore v. Ontario (Attorney General) </w:t>
      </w:r>
      <w:r w:rsidR="00E107BD" w:rsidRPr="00FD5CD8">
        <w:rPr>
          <w:rFonts w:ascii="Times New Roman" w:hAnsi="Times New Roman" w:cs="Times New Roman"/>
          <w:sz w:val="24"/>
          <w:szCs w:val="24"/>
        </w:rPr>
        <w:t>case</w:t>
      </w:r>
      <w:r w:rsidR="001C0A8B" w:rsidRPr="00FD5CD8">
        <w:rPr>
          <w:rFonts w:ascii="Times New Roman" w:hAnsi="Times New Roman" w:cs="Times New Roman"/>
          <w:sz w:val="24"/>
          <w:szCs w:val="24"/>
        </w:rPr>
        <w:t xml:space="preserve"> as previously discussed</w:t>
      </w:r>
      <w:r w:rsidR="006A24BB" w:rsidRPr="00FD5CD8">
        <w:rPr>
          <w:rFonts w:ascii="Times New Roman" w:hAnsi="Times New Roman" w:cs="Times New Roman"/>
          <w:sz w:val="24"/>
          <w:szCs w:val="24"/>
        </w:rPr>
        <w:t xml:space="preserve"> which has allowed the issue to develop</w:t>
      </w:r>
      <w:r w:rsidR="00AC61A1" w:rsidRPr="00FD5CD8">
        <w:rPr>
          <w:rFonts w:ascii="Times New Roman" w:hAnsi="Times New Roman" w:cs="Times New Roman"/>
          <w:sz w:val="24"/>
          <w:szCs w:val="24"/>
        </w:rPr>
        <w:t xml:space="preserve"> as well; “using precedents to illuminate the meaning of words works only after a system matures.”</w:t>
      </w:r>
      <w:r w:rsidR="00AC61A1" w:rsidRPr="00FD5CD8">
        <w:rPr>
          <w:rStyle w:val="FootnoteReference"/>
          <w:rFonts w:ascii="Times New Roman" w:hAnsi="Times New Roman" w:cs="Times New Roman"/>
          <w:sz w:val="24"/>
          <w:szCs w:val="24"/>
        </w:rPr>
        <w:footnoteReference w:id="24"/>
      </w:r>
      <w:r w:rsidR="00DC00D8" w:rsidRPr="00FD5CD8">
        <w:rPr>
          <w:rFonts w:ascii="Times New Roman" w:hAnsi="Times New Roman" w:cs="Times New Roman"/>
          <w:sz w:val="24"/>
          <w:szCs w:val="24"/>
        </w:rPr>
        <w:t xml:space="preserve"> </w:t>
      </w:r>
      <w:r w:rsidR="00D73E7C" w:rsidRPr="00FD5CD8">
        <w:rPr>
          <w:rFonts w:ascii="Times New Roman" w:hAnsi="Times New Roman" w:cs="Times New Roman"/>
          <w:sz w:val="24"/>
          <w:szCs w:val="24"/>
        </w:rPr>
        <w:t>Surpassing the first hurdle t</w:t>
      </w:r>
      <w:r w:rsidR="0038449C" w:rsidRPr="00FD5CD8">
        <w:rPr>
          <w:rFonts w:ascii="Times New Roman" w:hAnsi="Times New Roman" w:cs="Times New Roman"/>
          <w:sz w:val="24"/>
          <w:szCs w:val="24"/>
        </w:rPr>
        <w:t>he</w:t>
      </w:r>
      <w:r w:rsidR="003D510E" w:rsidRPr="00FD5CD8">
        <w:rPr>
          <w:rFonts w:ascii="Times New Roman" w:hAnsi="Times New Roman" w:cs="Times New Roman"/>
          <w:sz w:val="24"/>
          <w:szCs w:val="24"/>
        </w:rPr>
        <w:t xml:space="preserve"> </w:t>
      </w:r>
      <w:r w:rsidR="0038449C" w:rsidRPr="00FD5CD8">
        <w:rPr>
          <w:rFonts w:ascii="Times New Roman" w:hAnsi="Times New Roman" w:cs="Times New Roman"/>
          <w:i/>
          <w:sz w:val="24"/>
          <w:szCs w:val="24"/>
        </w:rPr>
        <w:t>B.C. Health Services and Support</w:t>
      </w:r>
      <w:r w:rsidR="0038449C" w:rsidRPr="00FD5CD8">
        <w:rPr>
          <w:rFonts w:ascii="Times New Roman" w:hAnsi="Times New Roman" w:cs="Times New Roman"/>
          <w:sz w:val="24"/>
          <w:szCs w:val="24"/>
        </w:rPr>
        <w:t xml:space="preserve"> </w:t>
      </w:r>
      <w:r w:rsidR="003D510E" w:rsidRPr="00FD5CD8">
        <w:rPr>
          <w:rFonts w:ascii="Times New Roman" w:hAnsi="Times New Roman" w:cs="Times New Roman"/>
          <w:sz w:val="24"/>
          <w:szCs w:val="24"/>
        </w:rPr>
        <w:t xml:space="preserve">case also proved that </w:t>
      </w:r>
      <w:r w:rsidR="002D6EA6" w:rsidRPr="00FD5CD8">
        <w:rPr>
          <w:rFonts w:ascii="Times New Roman" w:hAnsi="Times New Roman" w:cs="Times New Roman"/>
          <w:sz w:val="24"/>
          <w:szCs w:val="24"/>
        </w:rPr>
        <w:t>2(d)</w:t>
      </w:r>
      <w:r w:rsidR="00867B49" w:rsidRPr="00FD5CD8">
        <w:rPr>
          <w:rFonts w:ascii="Times New Roman" w:hAnsi="Times New Roman" w:cs="Times New Roman"/>
          <w:sz w:val="24"/>
          <w:szCs w:val="24"/>
        </w:rPr>
        <w:t xml:space="preserve"> creates a sense of responsibility under the law which may </w:t>
      </w:r>
      <w:r w:rsidR="002D6EA6" w:rsidRPr="00FD5CD8">
        <w:rPr>
          <w:rFonts w:ascii="Times New Roman" w:hAnsi="Times New Roman" w:cs="Times New Roman"/>
          <w:sz w:val="24"/>
          <w:szCs w:val="24"/>
        </w:rPr>
        <w:t>‘impose obligations on the government to enact legislation to protect the rights and freedoms of vulnerable groups.”</w:t>
      </w:r>
      <w:r w:rsidR="002D6EA6" w:rsidRPr="00FD5CD8">
        <w:rPr>
          <w:rStyle w:val="FootnoteReference"/>
          <w:rFonts w:ascii="Times New Roman" w:hAnsi="Times New Roman" w:cs="Times New Roman"/>
          <w:sz w:val="24"/>
          <w:szCs w:val="24"/>
        </w:rPr>
        <w:footnoteReference w:id="25"/>
      </w:r>
      <w:r w:rsidR="00D369DD" w:rsidRPr="00FD5CD8">
        <w:rPr>
          <w:rFonts w:ascii="Times New Roman" w:hAnsi="Times New Roman" w:cs="Times New Roman"/>
          <w:sz w:val="24"/>
          <w:szCs w:val="24"/>
        </w:rPr>
        <w:t xml:space="preserve"> </w:t>
      </w:r>
      <w:r w:rsidR="0060663C" w:rsidRPr="00FD5CD8">
        <w:rPr>
          <w:rFonts w:ascii="Times New Roman" w:hAnsi="Times New Roman" w:cs="Times New Roman"/>
          <w:sz w:val="24"/>
          <w:szCs w:val="24"/>
        </w:rPr>
        <w:t xml:space="preserve">“Justification, not interpretation, becomes the leitmotif of constitutional review….the rules of constitutional law </w:t>
      </w:r>
      <w:r w:rsidR="0060663C" w:rsidRPr="00FD5CD8">
        <w:rPr>
          <w:rFonts w:ascii="Times New Roman" w:hAnsi="Times New Roman" w:cs="Times New Roman"/>
          <w:sz w:val="24"/>
          <w:szCs w:val="24"/>
        </w:rPr>
        <w:lastRenderedPageBreak/>
        <w:t>actually impose limits on how those (politic</w:t>
      </w:r>
      <w:r w:rsidR="008A2DA3" w:rsidRPr="00FD5CD8">
        <w:rPr>
          <w:rFonts w:ascii="Times New Roman" w:hAnsi="Times New Roman" w:cs="Times New Roman"/>
          <w:sz w:val="24"/>
          <w:szCs w:val="24"/>
        </w:rPr>
        <w:t xml:space="preserve">ians and government officials) </w:t>
      </w:r>
      <w:r w:rsidR="0060663C" w:rsidRPr="00FD5CD8">
        <w:rPr>
          <w:rFonts w:ascii="Times New Roman" w:hAnsi="Times New Roman" w:cs="Times New Roman"/>
          <w:sz w:val="24"/>
          <w:szCs w:val="24"/>
        </w:rPr>
        <w:t xml:space="preserve">who are entrusted with the powers of the state can behave.” </w:t>
      </w:r>
      <w:r w:rsidR="0060663C" w:rsidRPr="00FD5CD8">
        <w:rPr>
          <w:rStyle w:val="FootnoteReference"/>
          <w:rFonts w:ascii="Times New Roman" w:hAnsi="Times New Roman" w:cs="Times New Roman"/>
          <w:sz w:val="24"/>
          <w:szCs w:val="24"/>
        </w:rPr>
        <w:footnoteReference w:id="26"/>
      </w:r>
      <w:r w:rsidR="0060663C" w:rsidRPr="00FD5CD8">
        <w:rPr>
          <w:rFonts w:ascii="Times New Roman" w:hAnsi="Times New Roman" w:cs="Times New Roman"/>
          <w:sz w:val="24"/>
          <w:szCs w:val="24"/>
        </w:rPr>
        <w:t xml:space="preserve"> </w:t>
      </w:r>
      <w:r w:rsidR="00035415" w:rsidRPr="00FD5CD8">
        <w:rPr>
          <w:rFonts w:ascii="Times New Roman" w:hAnsi="Times New Roman" w:cs="Times New Roman"/>
          <w:sz w:val="24"/>
          <w:szCs w:val="24"/>
        </w:rPr>
        <w:t>Since the Court of Appeal views the agricultural workers as a ‘vulnerable group’</w:t>
      </w:r>
      <w:r w:rsidR="0069542F" w:rsidRPr="00FD5CD8">
        <w:rPr>
          <w:rFonts w:ascii="Times New Roman" w:hAnsi="Times New Roman" w:cs="Times New Roman"/>
          <w:sz w:val="24"/>
          <w:szCs w:val="24"/>
        </w:rPr>
        <w:t xml:space="preserve"> </w:t>
      </w:r>
      <w:r w:rsidR="008606F6" w:rsidRPr="00FD5CD8">
        <w:rPr>
          <w:rFonts w:ascii="Times New Roman" w:hAnsi="Times New Roman" w:cs="Times New Roman"/>
          <w:sz w:val="24"/>
          <w:szCs w:val="24"/>
        </w:rPr>
        <w:t xml:space="preserve">in this specific circumstance </w:t>
      </w:r>
      <w:r w:rsidR="0069542F" w:rsidRPr="00FD5CD8">
        <w:rPr>
          <w:rFonts w:ascii="Times New Roman" w:hAnsi="Times New Roman" w:cs="Times New Roman"/>
          <w:sz w:val="24"/>
          <w:szCs w:val="24"/>
        </w:rPr>
        <w:t>the goal is</w:t>
      </w:r>
      <w:r w:rsidR="00035415" w:rsidRPr="00FD5CD8">
        <w:rPr>
          <w:rFonts w:ascii="Times New Roman" w:hAnsi="Times New Roman" w:cs="Times New Roman"/>
          <w:sz w:val="24"/>
          <w:szCs w:val="24"/>
        </w:rPr>
        <w:t xml:space="preserve"> to ensure </w:t>
      </w:r>
      <w:r w:rsidR="0060663C" w:rsidRPr="00FD5CD8">
        <w:rPr>
          <w:rFonts w:ascii="Times New Roman" w:hAnsi="Times New Roman" w:cs="Times New Roman"/>
          <w:sz w:val="24"/>
          <w:szCs w:val="24"/>
        </w:rPr>
        <w:t>that the state provides</w:t>
      </w:r>
      <w:r w:rsidR="00035415" w:rsidRPr="00FD5CD8">
        <w:rPr>
          <w:rFonts w:ascii="Times New Roman" w:hAnsi="Times New Roman" w:cs="Times New Roman"/>
          <w:sz w:val="24"/>
          <w:szCs w:val="24"/>
        </w:rPr>
        <w:t xml:space="preserve"> </w:t>
      </w:r>
      <w:r w:rsidR="0060663C" w:rsidRPr="00FD5CD8">
        <w:rPr>
          <w:rFonts w:ascii="Times New Roman" w:hAnsi="Times New Roman" w:cs="Times New Roman"/>
          <w:sz w:val="24"/>
          <w:szCs w:val="24"/>
        </w:rPr>
        <w:t xml:space="preserve">them </w:t>
      </w:r>
      <w:r w:rsidR="00035415" w:rsidRPr="00FD5CD8">
        <w:rPr>
          <w:rFonts w:ascii="Times New Roman" w:hAnsi="Times New Roman" w:cs="Times New Roman"/>
          <w:sz w:val="24"/>
          <w:szCs w:val="24"/>
        </w:rPr>
        <w:t>the minimum statutory protections for collective bargaining</w:t>
      </w:r>
      <w:r w:rsidR="00035415" w:rsidRPr="00FD5CD8">
        <w:rPr>
          <w:rStyle w:val="FootnoteReference"/>
          <w:rFonts w:ascii="Times New Roman" w:hAnsi="Times New Roman" w:cs="Times New Roman"/>
          <w:sz w:val="24"/>
          <w:szCs w:val="24"/>
        </w:rPr>
        <w:footnoteReference w:id="27"/>
      </w:r>
    </w:p>
    <w:p w:rsidR="00386A59" w:rsidRDefault="00386A59" w:rsidP="00AE61FB">
      <w:pPr>
        <w:spacing w:line="480" w:lineRule="auto"/>
        <w:rPr>
          <w:rFonts w:ascii="Times New Roman" w:hAnsi="Times New Roman" w:cs="Times New Roman"/>
          <w:sz w:val="24"/>
          <w:szCs w:val="24"/>
        </w:rPr>
      </w:pPr>
    </w:p>
    <w:p w:rsidR="004B440A" w:rsidRPr="004B440A" w:rsidRDefault="004B440A" w:rsidP="00AE61FB">
      <w:pPr>
        <w:spacing w:line="480" w:lineRule="auto"/>
        <w:rPr>
          <w:rFonts w:ascii="Times New Roman" w:hAnsi="Times New Roman" w:cs="Times New Roman"/>
          <w:b/>
          <w:sz w:val="24"/>
          <w:szCs w:val="24"/>
        </w:rPr>
      </w:pPr>
      <w:r w:rsidRPr="004B440A">
        <w:rPr>
          <w:rFonts w:ascii="Times New Roman" w:hAnsi="Times New Roman" w:cs="Times New Roman"/>
          <w:b/>
          <w:sz w:val="24"/>
          <w:szCs w:val="24"/>
        </w:rPr>
        <w:t xml:space="preserve">Fraser </w:t>
      </w:r>
      <w:r w:rsidR="00194F0C">
        <w:rPr>
          <w:rFonts w:ascii="Times New Roman" w:hAnsi="Times New Roman" w:cs="Times New Roman"/>
          <w:b/>
          <w:sz w:val="24"/>
          <w:szCs w:val="24"/>
        </w:rPr>
        <w:t xml:space="preserve">v. Ontario </w:t>
      </w:r>
      <w:r w:rsidRPr="004B440A">
        <w:rPr>
          <w:rFonts w:ascii="Times New Roman" w:hAnsi="Times New Roman" w:cs="Times New Roman"/>
          <w:b/>
          <w:sz w:val="24"/>
          <w:szCs w:val="24"/>
        </w:rPr>
        <w:t>2011</w:t>
      </w:r>
    </w:p>
    <w:p w:rsidR="00473D3B" w:rsidRPr="00236818" w:rsidRDefault="00473D3B" w:rsidP="0023681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appeal to the Ontario Court of Appeal was successful for the agricultural </w:t>
      </w:r>
      <w:proofErr w:type="gramStart"/>
      <w:r>
        <w:rPr>
          <w:rFonts w:ascii="Times New Roman" w:hAnsi="Times New Roman" w:cs="Times New Roman"/>
          <w:sz w:val="24"/>
          <w:szCs w:val="24"/>
        </w:rPr>
        <w:t>workers,</w:t>
      </w:r>
      <w:proofErr w:type="gramEnd"/>
      <w:r w:rsidR="00236818">
        <w:rPr>
          <w:rFonts w:ascii="Times New Roman" w:hAnsi="Times New Roman" w:cs="Times New Roman"/>
          <w:sz w:val="24"/>
          <w:szCs w:val="24"/>
        </w:rPr>
        <w:t xml:space="preserve"> the AEPA is no longer valid. The new issue which arises in </w:t>
      </w:r>
      <w:r w:rsidR="00236818" w:rsidRPr="00511687">
        <w:rPr>
          <w:rFonts w:ascii="Times New Roman" w:hAnsi="Times New Roman" w:cs="Times New Roman"/>
          <w:i/>
          <w:sz w:val="24"/>
          <w:szCs w:val="24"/>
        </w:rPr>
        <w:t>Ontario v. Fraser</w:t>
      </w:r>
      <w:r w:rsidR="00236818">
        <w:rPr>
          <w:rFonts w:ascii="Times New Roman" w:hAnsi="Times New Roman" w:cs="Times New Roman"/>
          <w:sz w:val="24"/>
          <w:szCs w:val="24"/>
        </w:rPr>
        <w:t xml:space="preserve"> 2011 is that the primitive </w:t>
      </w:r>
      <w:r w:rsidR="00236818">
        <w:rPr>
          <w:rFonts w:ascii="Times New Roman" w:hAnsi="Times New Roman" w:cs="Times New Roman"/>
          <w:i/>
          <w:sz w:val="24"/>
          <w:szCs w:val="24"/>
        </w:rPr>
        <w:t>Health Services and Support</w:t>
      </w:r>
      <w:r w:rsidR="00236818">
        <w:rPr>
          <w:rFonts w:ascii="Times New Roman" w:hAnsi="Times New Roman" w:cs="Times New Roman"/>
          <w:sz w:val="24"/>
          <w:szCs w:val="24"/>
        </w:rPr>
        <w:t xml:space="preserve"> case is actually an invalid use of precedence therefore invalidating the reversal of the 2008 case.</w:t>
      </w:r>
      <w:r w:rsidR="00236818">
        <w:rPr>
          <w:rStyle w:val="FootnoteReference"/>
          <w:rFonts w:ascii="Times New Roman" w:hAnsi="Times New Roman" w:cs="Times New Roman"/>
          <w:sz w:val="24"/>
          <w:szCs w:val="24"/>
        </w:rPr>
        <w:footnoteReference w:id="28"/>
      </w:r>
      <w:r w:rsidR="00236818">
        <w:rPr>
          <w:rFonts w:ascii="Times New Roman" w:hAnsi="Times New Roman" w:cs="Times New Roman"/>
          <w:sz w:val="24"/>
          <w:szCs w:val="24"/>
        </w:rPr>
        <w:t xml:space="preserve"> </w:t>
      </w:r>
      <w:r w:rsidR="00E25475">
        <w:rPr>
          <w:rFonts w:ascii="Times New Roman" w:hAnsi="Times New Roman" w:cs="Times New Roman"/>
          <w:sz w:val="24"/>
          <w:szCs w:val="24"/>
        </w:rPr>
        <w:t xml:space="preserve"> </w:t>
      </w:r>
      <w:r w:rsidR="00236818" w:rsidRPr="00236818">
        <w:rPr>
          <w:rFonts w:ascii="Times New Roman" w:hAnsi="Times New Roman" w:cs="Times New Roman"/>
          <w:i/>
          <w:sz w:val="24"/>
          <w:szCs w:val="24"/>
        </w:rPr>
        <w:t>Ontario v. Fraser 2008</w:t>
      </w:r>
      <w:r w:rsidR="00236818">
        <w:rPr>
          <w:rFonts w:ascii="Times New Roman" w:hAnsi="Times New Roman" w:cs="Times New Roman"/>
          <w:i/>
          <w:sz w:val="24"/>
          <w:szCs w:val="24"/>
        </w:rPr>
        <w:t xml:space="preserve"> </w:t>
      </w:r>
      <w:r w:rsidR="00236818">
        <w:rPr>
          <w:rFonts w:ascii="Times New Roman" w:hAnsi="Times New Roman" w:cs="Times New Roman"/>
          <w:sz w:val="24"/>
          <w:szCs w:val="24"/>
        </w:rPr>
        <w:t xml:space="preserve">is appealed on behalf of the state and its best interest. The state does not want the agricultural workers who are a vital component of society to attain the ability to formally unionize thus leading to possible strike. </w:t>
      </w:r>
      <w:r w:rsidR="002B7A21">
        <w:rPr>
          <w:rFonts w:ascii="Times New Roman" w:hAnsi="Times New Roman" w:cs="Times New Roman"/>
          <w:sz w:val="24"/>
          <w:szCs w:val="24"/>
        </w:rPr>
        <w:t>This appeal attempts to undermine the validity of the two cases</w:t>
      </w:r>
      <w:r w:rsidR="00BC7415">
        <w:rPr>
          <w:rFonts w:ascii="Times New Roman" w:hAnsi="Times New Roman" w:cs="Times New Roman"/>
          <w:sz w:val="24"/>
          <w:szCs w:val="24"/>
        </w:rPr>
        <w:t xml:space="preserve">; </w:t>
      </w:r>
      <w:r w:rsidR="00BC7415">
        <w:rPr>
          <w:rFonts w:ascii="Times New Roman" w:hAnsi="Times New Roman" w:cs="Times New Roman"/>
          <w:i/>
          <w:sz w:val="24"/>
          <w:szCs w:val="24"/>
        </w:rPr>
        <w:t xml:space="preserve">Dunmore v. Ontario </w:t>
      </w:r>
      <w:r w:rsidR="00BC7415">
        <w:rPr>
          <w:rFonts w:ascii="Times New Roman" w:hAnsi="Times New Roman" w:cs="Times New Roman"/>
          <w:sz w:val="24"/>
          <w:szCs w:val="24"/>
        </w:rPr>
        <w:t xml:space="preserve">and </w:t>
      </w:r>
      <w:r w:rsidR="00BC7415">
        <w:rPr>
          <w:rFonts w:ascii="Times New Roman" w:hAnsi="Times New Roman" w:cs="Times New Roman"/>
          <w:i/>
          <w:sz w:val="24"/>
          <w:szCs w:val="24"/>
        </w:rPr>
        <w:t>B.C. Health Services and Support</w:t>
      </w:r>
      <w:r w:rsidR="002B7A21">
        <w:rPr>
          <w:rFonts w:ascii="Times New Roman" w:hAnsi="Times New Roman" w:cs="Times New Roman"/>
          <w:sz w:val="24"/>
          <w:szCs w:val="24"/>
        </w:rPr>
        <w:t xml:space="preserve"> which potentially influenced the outcome in 2008</w:t>
      </w:r>
      <w:r w:rsidR="00BC7415">
        <w:rPr>
          <w:rFonts w:ascii="Times New Roman" w:hAnsi="Times New Roman" w:cs="Times New Roman"/>
          <w:sz w:val="24"/>
          <w:szCs w:val="24"/>
        </w:rPr>
        <w:t>.</w:t>
      </w:r>
      <w:r w:rsidR="00D16D71">
        <w:rPr>
          <w:rFonts w:ascii="Times New Roman" w:hAnsi="Times New Roman" w:cs="Times New Roman"/>
          <w:sz w:val="24"/>
          <w:szCs w:val="24"/>
        </w:rPr>
        <w:t xml:space="preserve"> </w:t>
      </w:r>
    </w:p>
    <w:p w:rsidR="004B440A" w:rsidRPr="004B440A" w:rsidRDefault="00473D3B" w:rsidP="00AE61F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2B2979" w:rsidRPr="00FD5CD8" w:rsidRDefault="002B2979" w:rsidP="00AE61FB">
      <w:pPr>
        <w:spacing w:line="480" w:lineRule="auto"/>
        <w:rPr>
          <w:rFonts w:ascii="Times New Roman" w:hAnsi="Times New Roman" w:cs="Times New Roman"/>
          <w:b/>
          <w:sz w:val="24"/>
          <w:szCs w:val="24"/>
        </w:rPr>
      </w:pPr>
      <w:r w:rsidRPr="00FD5CD8">
        <w:rPr>
          <w:rFonts w:ascii="Times New Roman" w:hAnsi="Times New Roman" w:cs="Times New Roman"/>
          <w:b/>
          <w:sz w:val="24"/>
          <w:szCs w:val="24"/>
        </w:rPr>
        <w:t>Conclusion</w:t>
      </w:r>
    </w:p>
    <w:p w:rsidR="00205F4C" w:rsidRPr="00FD5CD8" w:rsidRDefault="00205F4C" w:rsidP="00C55E81">
      <w:pPr>
        <w:spacing w:line="480" w:lineRule="auto"/>
        <w:ind w:firstLine="720"/>
        <w:rPr>
          <w:rFonts w:ascii="Times New Roman" w:hAnsi="Times New Roman" w:cs="Times New Roman"/>
          <w:sz w:val="24"/>
          <w:szCs w:val="24"/>
        </w:rPr>
      </w:pPr>
      <w:r w:rsidRPr="00FD5CD8">
        <w:rPr>
          <w:rFonts w:ascii="Times New Roman" w:hAnsi="Times New Roman" w:cs="Times New Roman"/>
          <w:sz w:val="24"/>
          <w:szCs w:val="24"/>
        </w:rPr>
        <w:t>It is evident that the development of</w:t>
      </w:r>
      <w:r w:rsidR="00473D3B">
        <w:rPr>
          <w:rFonts w:ascii="Times New Roman" w:hAnsi="Times New Roman" w:cs="Times New Roman"/>
          <w:sz w:val="24"/>
          <w:szCs w:val="24"/>
        </w:rPr>
        <w:t xml:space="preserve"> the agricultural workers’ </w:t>
      </w:r>
      <w:r w:rsidRPr="00FD5CD8">
        <w:rPr>
          <w:rFonts w:ascii="Times New Roman" w:hAnsi="Times New Roman" w:cs="Times New Roman"/>
          <w:sz w:val="24"/>
          <w:szCs w:val="24"/>
        </w:rPr>
        <w:t xml:space="preserve">case starting from the lower courts directly affects the final outcome in </w:t>
      </w:r>
      <w:r w:rsidR="00473D3B" w:rsidRPr="00473D3B">
        <w:rPr>
          <w:rFonts w:ascii="Times New Roman" w:hAnsi="Times New Roman" w:cs="Times New Roman"/>
          <w:i/>
          <w:sz w:val="24"/>
          <w:szCs w:val="24"/>
        </w:rPr>
        <w:t xml:space="preserve">Ontario v. </w:t>
      </w:r>
      <w:r w:rsidRPr="00473D3B">
        <w:rPr>
          <w:rFonts w:ascii="Times New Roman" w:hAnsi="Times New Roman" w:cs="Times New Roman"/>
          <w:i/>
          <w:sz w:val="24"/>
          <w:szCs w:val="24"/>
        </w:rPr>
        <w:t>Fraser 2011</w:t>
      </w:r>
      <w:r w:rsidRPr="00FD5CD8">
        <w:rPr>
          <w:rFonts w:ascii="Times New Roman" w:hAnsi="Times New Roman" w:cs="Times New Roman"/>
          <w:sz w:val="24"/>
          <w:szCs w:val="24"/>
        </w:rPr>
        <w:t xml:space="preserve">. </w:t>
      </w:r>
      <w:r w:rsidR="00B615EA" w:rsidRPr="00FD5CD8">
        <w:rPr>
          <w:rFonts w:ascii="Times New Roman" w:hAnsi="Times New Roman" w:cs="Times New Roman"/>
          <w:sz w:val="24"/>
          <w:szCs w:val="24"/>
        </w:rPr>
        <w:t xml:space="preserve">At each level discussed throughout this paper it is evident that there is an evolution concerning the </w:t>
      </w:r>
      <w:r w:rsidR="00962666">
        <w:rPr>
          <w:rFonts w:ascii="Times New Roman" w:hAnsi="Times New Roman" w:cs="Times New Roman"/>
          <w:sz w:val="24"/>
          <w:szCs w:val="24"/>
        </w:rPr>
        <w:t xml:space="preserve">jurisprudence of the </w:t>
      </w:r>
      <w:r w:rsidR="00962666">
        <w:rPr>
          <w:rFonts w:ascii="Times New Roman" w:hAnsi="Times New Roman" w:cs="Times New Roman"/>
          <w:sz w:val="24"/>
          <w:szCs w:val="24"/>
        </w:rPr>
        <w:lastRenderedPageBreak/>
        <w:t>judges and their use of section 1 to ‘save’ the Charter.</w:t>
      </w:r>
      <w:r w:rsidR="00056745">
        <w:rPr>
          <w:rFonts w:ascii="Times New Roman" w:hAnsi="Times New Roman" w:cs="Times New Roman"/>
          <w:sz w:val="24"/>
          <w:szCs w:val="24"/>
        </w:rPr>
        <w:t xml:space="preserve"> At the final case level we see the state attempt and successfully overturn the outcome staggering the success of the agricultural workers.</w:t>
      </w:r>
    </w:p>
    <w:p w:rsidR="00912F04" w:rsidRPr="0088232E" w:rsidRDefault="00570353" w:rsidP="00C55E81">
      <w:pPr>
        <w:spacing w:line="480" w:lineRule="auto"/>
        <w:ind w:firstLine="720"/>
        <w:rPr>
          <w:rFonts w:ascii="Times New Roman" w:hAnsi="Times New Roman" w:cs="Times New Roman"/>
          <w:bCs/>
          <w:i/>
          <w:color w:val="000000"/>
          <w:sz w:val="24"/>
          <w:szCs w:val="24"/>
          <w:shd w:val="clear" w:color="auto" w:fill="FFFFFF"/>
        </w:rPr>
      </w:pPr>
      <w:r>
        <w:rPr>
          <w:rFonts w:ascii="Times New Roman" w:hAnsi="Times New Roman" w:cs="Times New Roman"/>
          <w:sz w:val="24"/>
          <w:szCs w:val="24"/>
        </w:rPr>
        <w:t xml:space="preserve">The initial contest through the </w:t>
      </w:r>
      <w:r>
        <w:rPr>
          <w:rFonts w:ascii="Times New Roman" w:hAnsi="Times New Roman" w:cs="Times New Roman"/>
          <w:i/>
          <w:sz w:val="24"/>
          <w:szCs w:val="24"/>
        </w:rPr>
        <w:t xml:space="preserve">Dunmore v. Ontario </w:t>
      </w:r>
      <w:r>
        <w:rPr>
          <w:rFonts w:ascii="Times New Roman" w:hAnsi="Times New Roman" w:cs="Times New Roman"/>
          <w:sz w:val="24"/>
          <w:szCs w:val="24"/>
        </w:rPr>
        <w:t xml:space="preserve">case produced the creation of the </w:t>
      </w:r>
      <w:r w:rsidRPr="00FD5CD8">
        <w:rPr>
          <w:rFonts w:ascii="Times New Roman" w:hAnsi="Times New Roman" w:cs="Times New Roman"/>
          <w:i/>
          <w:sz w:val="24"/>
          <w:szCs w:val="24"/>
        </w:rPr>
        <w:t xml:space="preserve">Agricultural Employees Protection Act </w:t>
      </w:r>
      <w:r w:rsidRPr="00FD5CD8">
        <w:rPr>
          <w:rFonts w:ascii="Times New Roman" w:hAnsi="Times New Roman" w:cs="Times New Roman"/>
          <w:sz w:val="24"/>
          <w:szCs w:val="24"/>
        </w:rPr>
        <w:t xml:space="preserve">(AEPA) </w:t>
      </w:r>
      <w:r>
        <w:rPr>
          <w:rFonts w:ascii="Times New Roman" w:hAnsi="Times New Roman" w:cs="Times New Roman"/>
          <w:sz w:val="24"/>
          <w:szCs w:val="24"/>
        </w:rPr>
        <w:t xml:space="preserve">in 2002. </w:t>
      </w:r>
      <w:r w:rsidR="00E25495">
        <w:rPr>
          <w:rFonts w:ascii="Times New Roman" w:hAnsi="Times New Roman" w:cs="Times New Roman"/>
          <w:sz w:val="24"/>
          <w:szCs w:val="24"/>
        </w:rPr>
        <w:t>However, AEPA failed</w:t>
      </w:r>
      <w:r w:rsidR="002B2979" w:rsidRPr="00FD5CD8">
        <w:rPr>
          <w:rFonts w:ascii="Times New Roman" w:hAnsi="Times New Roman" w:cs="Times New Roman"/>
          <w:sz w:val="24"/>
          <w:szCs w:val="24"/>
        </w:rPr>
        <w:t xml:space="preserve"> to provide agricultural workers in Ontario with sufficient statutory protections to enable them to exercise their right to organize and to bargain collectively as implicitly permissible under section 2(d) of the Canadian Charter of Rights and Freedoms.</w:t>
      </w:r>
      <w:r w:rsidR="002B2979" w:rsidRPr="00FD5CD8">
        <w:rPr>
          <w:rStyle w:val="FootnoteReference"/>
          <w:rFonts w:ascii="Times New Roman" w:hAnsi="Times New Roman" w:cs="Times New Roman"/>
          <w:sz w:val="24"/>
          <w:szCs w:val="24"/>
        </w:rPr>
        <w:footnoteReference w:id="29"/>
      </w:r>
      <w:r w:rsidR="00473D3B">
        <w:rPr>
          <w:rFonts w:ascii="Times New Roman" w:hAnsi="Times New Roman" w:cs="Times New Roman"/>
          <w:sz w:val="24"/>
          <w:szCs w:val="24"/>
        </w:rPr>
        <w:t xml:space="preserve"> </w:t>
      </w:r>
      <w:r w:rsidR="00E25495">
        <w:rPr>
          <w:rFonts w:ascii="Times New Roman" w:hAnsi="Times New Roman" w:cs="Times New Roman"/>
          <w:sz w:val="24"/>
          <w:szCs w:val="24"/>
        </w:rPr>
        <w:t xml:space="preserve">The AEPA failed to satisfy the attempts to attain equal protection under the constitutional rights of the agricultural workers. </w:t>
      </w:r>
      <w:r w:rsidR="001035BB">
        <w:rPr>
          <w:rFonts w:ascii="Times New Roman" w:hAnsi="Times New Roman" w:cs="Times New Roman"/>
          <w:sz w:val="24"/>
          <w:szCs w:val="24"/>
        </w:rPr>
        <w:t xml:space="preserve">Another attempt was made in </w:t>
      </w:r>
      <w:r w:rsidR="001035BB" w:rsidRPr="001035BB">
        <w:rPr>
          <w:rFonts w:ascii="Times New Roman" w:hAnsi="Times New Roman" w:cs="Times New Roman"/>
          <w:i/>
          <w:sz w:val="24"/>
          <w:szCs w:val="24"/>
        </w:rPr>
        <w:t>Ontario v. Fraser 2006</w:t>
      </w:r>
      <w:r w:rsidR="002C67EF">
        <w:rPr>
          <w:rFonts w:ascii="Times New Roman" w:hAnsi="Times New Roman" w:cs="Times New Roman"/>
          <w:sz w:val="24"/>
          <w:szCs w:val="24"/>
        </w:rPr>
        <w:t xml:space="preserve"> </w:t>
      </w:r>
      <w:r w:rsidR="004916F8">
        <w:rPr>
          <w:rFonts w:ascii="Times New Roman" w:hAnsi="Times New Roman" w:cs="Times New Roman"/>
          <w:sz w:val="24"/>
          <w:szCs w:val="24"/>
        </w:rPr>
        <w:t>however the judge’s use of jurisprudence claiming ‘demonstrably justifiable’ of section 1 of the Charter saved the validity of the AEPA and resulted in the unsuccessful trial for the workers.</w:t>
      </w:r>
      <w:r w:rsidR="001035BB">
        <w:rPr>
          <w:rFonts w:ascii="Times New Roman" w:hAnsi="Times New Roman" w:cs="Times New Roman"/>
          <w:sz w:val="24"/>
          <w:szCs w:val="24"/>
        </w:rPr>
        <w:t xml:space="preserve"> </w:t>
      </w:r>
      <w:r w:rsidR="00B451DC">
        <w:rPr>
          <w:rFonts w:ascii="Times New Roman" w:hAnsi="Times New Roman" w:cs="Times New Roman"/>
          <w:sz w:val="24"/>
          <w:szCs w:val="24"/>
        </w:rPr>
        <w:t>Although similar cases twice unsuccessful the</w:t>
      </w:r>
      <w:r w:rsidR="004916F8">
        <w:rPr>
          <w:rFonts w:ascii="Times New Roman" w:hAnsi="Times New Roman" w:cs="Times New Roman"/>
          <w:sz w:val="24"/>
          <w:szCs w:val="24"/>
        </w:rPr>
        <w:t xml:space="preserve"> </w:t>
      </w:r>
      <w:r>
        <w:rPr>
          <w:rFonts w:ascii="Times New Roman" w:hAnsi="Times New Roman" w:cs="Times New Roman"/>
          <w:sz w:val="24"/>
          <w:szCs w:val="24"/>
        </w:rPr>
        <w:t>workers remained persistent in their battle and appeal the case t</w:t>
      </w:r>
      <w:r w:rsidR="003141C8">
        <w:rPr>
          <w:rFonts w:ascii="Times New Roman" w:hAnsi="Times New Roman" w:cs="Times New Roman"/>
          <w:sz w:val="24"/>
          <w:szCs w:val="24"/>
        </w:rPr>
        <w:t xml:space="preserve">herefore leading to the AEPA being deemed as invalid by the </w:t>
      </w:r>
      <w:r w:rsidR="003141C8" w:rsidRPr="00AB03B9">
        <w:rPr>
          <w:rFonts w:ascii="Times New Roman" w:hAnsi="Times New Roman" w:cs="Times New Roman"/>
          <w:sz w:val="24"/>
          <w:szCs w:val="24"/>
        </w:rPr>
        <w:t>Ontario Court of Appeal in 2008</w:t>
      </w:r>
      <w:r w:rsidR="00B3532D">
        <w:rPr>
          <w:rFonts w:ascii="Times New Roman" w:hAnsi="Times New Roman" w:cs="Times New Roman"/>
          <w:sz w:val="24"/>
          <w:szCs w:val="24"/>
        </w:rPr>
        <w:t xml:space="preserve"> </w:t>
      </w:r>
      <w:r w:rsidR="00B3532D" w:rsidRPr="00B3532D">
        <w:rPr>
          <w:rFonts w:ascii="Times New Roman" w:hAnsi="Times New Roman" w:cs="Times New Roman"/>
          <w:i/>
          <w:sz w:val="24"/>
          <w:szCs w:val="24"/>
        </w:rPr>
        <w:t>Ontario v. Fraser</w:t>
      </w:r>
      <w:r w:rsidR="00B3532D">
        <w:rPr>
          <w:rFonts w:ascii="Times New Roman" w:hAnsi="Times New Roman" w:cs="Times New Roman"/>
          <w:sz w:val="24"/>
          <w:szCs w:val="24"/>
        </w:rPr>
        <w:t xml:space="preserve"> case</w:t>
      </w:r>
      <w:r w:rsidR="003141C8">
        <w:rPr>
          <w:rFonts w:ascii="Times New Roman" w:hAnsi="Times New Roman" w:cs="Times New Roman"/>
          <w:sz w:val="24"/>
          <w:szCs w:val="24"/>
        </w:rPr>
        <w:t>.</w:t>
      </w:r>
      <w:r w:rsidR="00D3043E">
        <w:rPr>
          <w:rFonts w:ascii="Times New Roman" w:hAnsi="Times New Roman" w:cs="Times New Roman"/>
          <w:sz w:val="24"/>
          <w:szCs w:val="24"/>
        </w:rPr>
        <w:t xml:space="preserve"> This left the workers back at square one in their journey to attain the full extent of their constitutional rights under section 2(d); the difference this time is the precedent provided by</w:t>
      </w:r>
      <w:r w:rsidR="00D3043E" w:rsidRPr="00D3043E">
        <w:rPr>
          <w:rFonts w:ascii="Times New Roman" w:hAnsi="Times New Roman" w:cs="Times New Roman"/>
          <w:sz w:val="24"/>
          <w:szCs w:val="24"/>
        </w:rPr>
        <w:t xml:space="preserve"> </w:t>
      </w:r>
      <w:r w:rsidR="00D3043E">
        <w:rPr>
          <w:rFonts w:ascii="Times New Roman" w:hAnsi="Times New Roman" w:cs="Times New Roman"/>
          <w:sz w:val="24"/>
          <w:szCs w:val="24"/>
        </w:rPr>
        <w:t>t</w:t>
      </w:r>
      <w:r w:rsidR="00D3043E" w:rsidRPr="00FD5CD8">
        <w:rPr>
          <w:rFonts w:ascii="Times New Roman" w:hAnsi="Times New Roman" w:cs="Times New Roman"/>
          <w:sz w:val="24"/>
          <w:szCs w:val="24"/>
        </w:rPr>
        <w:t xml:space="preserve">he </w:t>
      </w:r>
      <w:r w:rsidR="00D3043E" w:rsidRPr="00FD5CD8">
        <w:rPr>
          <w:rFonts w:ascii="Times New Roman" w:hAnsi="Times New Roman" w:cs="Times New Roman"/>
          <w:i/>
          <w:sz w:val="24"/>
          <w:szCs w:val="24"/>
        </w:rPr>
        <w:t xml:space="preserve">B.C. Health Services and Support </w:t>
      </w:r>
      <w:r w:rsidR="00D3043E" w:rsidRPr="00FD5CD8">
        <w:rPr>
          <w:rFonts w:ascii="Times New Roman" w:hAnsi="Times New Roman" w:cs="Times New Roman"/>
          <w:sz w:val="24"/>
          <w:szCs w:val="24"/>
        </w:rPr>
        <w:t>case</w:t>
      </w:r>
      <w:r w:rsidR="00D3043E">
        <w:rPr>
          <w:rFonts w:ascii="Times New Roman" w:hAnsi="Times New Roman" w:cs="Times New Roman"/>
          <w:sz w:val="24"/>
          <w:szCs w:val="24"/>
        </w:rPr>
        <w:t>. This case</w:t>
      </w:r>
      <w:r w:rsidR="00D3043E" w:rsidRPr="00FD5CD8">
        <w:rPr>
          <w:rFonts w:ascii="Times New Roman" w:hAnsi="Times New Roman" w:cs="Times New Roman"/>
          <w:sz w:val="24"/>
          <w:szCs w:val="24"/>
        </w:rPr>
        <w:t xml:space="preserve"> provides insight into section 2(d) by allowing the judge to ponder its jurisdiction given a precedent which provides an alternative interpretation for defining the boundaries surroundi</w:t>
      </w:r>
      <w:r w:rsidR="00AB03B9">
        <w:rPr>
          <w:rFonts w:ascii="Times New Roman" w:hAnsi="Times New Roman" w:cs="Times New Roman"/>
          <w:sz w:val="24"/>
          <w:szCs w:val="24"/>
        </w:rPr>
        <w:t>ng collective bargaining rights; which also helped make the 2008 case.</w:t>
      </w:r>
      <w:r w:rsidR="00511687">
        <w:rPr>
          <w:rFonts w:ascii="Times New Roman" w:hAnsi="Times New Roman" w:cs="Times New Roman"/>
          <w:sz w:val="24"/>
          <w:szCs w:val="24"/>
        </w:rPr>
        <w:t xml:space="preserve"> The new issue which arose in </w:t>
      </w:r>
      <w:r w:rsidR="00511687" w:rsidRPr="00511687">
        <w:rPr>
          <w:rFonts w:ascii="Times New Roman" w:hAnsi="Times New Roman" w:cs="Times New Roman"/>
          <w:i/>
          <w:sz w:val="24"/>
          <w:szCs w:val="24"/>
        </w:rPr>
        <w:t>Ontario v. Fraser</w:t>
      </w:r>
      <w:r w:rsidR="00511687">
        <w:rPr>
          <w:rFonts w:ascii="Times New Roman" w:hAnsi="Times New Roman" w:cs="Times New Roman"/>
          <w:sz w:val="24"/>
          <w:szCs w:val="24"/>
        </w:rPr>
        <w:t xml:space="preserve"> 2011 is that the primitive </w:t>
      </w:r>
      <w:r w:rsidR="00511687">
        <w:rPr>
          <w:rFonts w:ascii="Times New Roman" w:hAnsi="Times New Roman" w:cs="Times New Roman"/>
          <w:i/>
          <w:sz w:val="24"/>
          <w:szCs w:val="24"/>
        </w:rPr>
        <w:t>Health Services and Support</w:t>
      </w:r>
      <w:r w:rsidR="00511687">
        <w:rPr>
          <w:rFonts w:ascii="Times New Roman" w:hAnsi="Times New Roman" w:cs="Times New Roman"/>
          <w:sz w:val="24"/>
          <w:szCs w:val="24"/>
        </w:rPr>
        <w:t xml:space="preserve"> case is actually an invalid use of precedence therefore invalidating the reversal of the 2008 case.</w:t>
      </w:r>
      <w:r w:rsidR="00511687">
        <w:rPr>
          <w:rStyle w:val="FootnoteReference"/>
          <w:rFonts w:ascii="Times New Roman" w:hAnsi="Times New Roman" w:cs="Times New Roman"/>
          <w:sz w:val="24"/>
          <w:szCs w:val="24"/>
        </w:rPr>
        <w:footnoteReference w:id="30"/>
      </w:r>
      <w:r w:rsidR="00C85294">
        <w:rPr>
          <w:rFonts w:ascii="Times New Roman" w:hAnsi="Times New Roman" w:cs="Times New Roman"/>
          <w:sz w:val="24"/>
          <w:szCs w:val="24"/>
        </w:rPr>
        <w:t xml:space="preserve"> This is </w:t>
      </w:r>
      <w:r w:rsidR="004F2BF5">
        <w:rPr>
          <w:rFonts w:ascii="Times New Roman" w:hAnsi="Times New Roman" w:cs="Times New Roman"/>
          <w:sz w:val="24"/>
          <w:szCs w:val="24"/>
        </w:rPr>
        <w:t>unjust;</w:t>
      </w:r>
      <w:r w:rsidR="00D832A2">
        <w:rPr>
          <w:rFonts w:ascii="Times New Roman" w:hAnsi="Times New Roman" w:cs="Times New Roman"/>
          <w:sz w:val="24"/>
          <w:szCs w:val="24"/>
        </w:rPr>
        <w:t xml:space="preserve"> the majority of the members voting against the agricultural workers </w:t>
      </w:r>
      <w:r w:rsidR="00654BA1">
        <w:rPr>
          <w:rFonts w:ascii="Times New Roman" w:hAnsi="Times New Roman" w:cs="Times New Roman"/>
          <w:sz w:val="24"/>
          <w:szCs w:val="24"/>
        </w:rPr>
        <w:lastRenderedPageBreak/>
        <w:t>prove</w:t>
      </w:r>
      <w:r w:rsidR="00D832A2">
        <w:rPr>
          <w:rFonts w:ascii="Times New Roman" w:hAnsi="Times New Roman" w:cs="Times New Roman"/>
          <w:sz w:val="24"/>
          <w:szCs w:val="24"/>
        </w:rPr>
        <w:t xml:space="preserve"> that the judges’ role to play the unbiased decision maker is indeed influenced by political contamination</w:t>
      </w:r>
      <w:r w:rsidR="00CF1A8D">
        <w:rPr>
          <w:rFonts w:ascii="Times New Roman" w:hAnsi="Times New Roman" w:cs="Times New Roman"/>
          <w:sz w:val="24"/>
          <w:szCs w:val="24"/>
        </w:rPr>
        <w:t xml:space="preserve"> resulting in favor of the states’ best interest. </w:t>
      </w:r>
      <w:r w:rsidR="00511687">
        <w:rPr>
          <w:rFonts w:ascii="Times New Roman" w:hAnsi="Times New Roman" w:cs="Times New Roman"/>
          <w:sz w:val="24"/>
          <w:szCs w:val="24"/>
        </w:rPr>
        <w:t xml:space="preserve"> </w:t>
      </w:r>
      <w:r w:rsidR="00962666">
        <w:rPr>
          <w:rFonts w:ascii="Times New Roman" w:hAnsi="Times New Roman" w:cs="Times New Roman"/>
          <w:sz w:val="24"/>
          <w:szCs w:val="24"/>
        </w:rPr>
        <w:t xml:space="preserve"> </w:t>
      </w:r>
      <w:r w:rsidR="00D3043E">
        <w:rPr>
          <w:rFonts w:ascii="Times New Roman" w:hAnsi="Times New Roman" w:cs="Times New Roman"/>
          <w:sz w:val="24"/>
          <w:szCs w:val="24"/>
        </w:rPr>
        <w:t xml:space="preserve">  </w:t>
      </w:r>
      <w:r w:rsidR="003141C8">
        <w:rPr>
          <w:rFonts w:ascii="Times New Roman" w:hAnsi="Times New Roman" w:cs="Times New Roman"/>
          <w:sz w:val="24"/>
          <w:szCs w:val="24"/>
        </w:rPr>
        <w:t xml:space="preserve"> </w:t>
      </w:r>
      <w:r w:rsidR="002B2979" w:rsidRPr="00FD5CD8">
        <w:rPr>
          <w:rFonts w:ascii="Times New Roman" w:hAnsi="Times New Roman" w:cs="Times New Roman"/>
          <w:sz w:val="24"/>
          <w:szCs w:val="24"/>
        </w:rPr>
        <w:t xml:space="preserve"> </w:t>
      </w:r>
    </w:p>
    <w:p w:rsidR="00912F04" w:rsidRPr="00FD5CD8" w:rsidRDefault="00912F04" w:rsidP="00AE61FB">
      <w:pPr>
        <w:spacing w:line="480" w:lineRule="auto"/>
        <w:rPr>
          <w:rFonts w:ascii="Times New Roman" w:hAnsi="Times New Roman" w:cs="Times New Roman"/>
          <w:sz w:val="24"/>
          <w:szCs w:val="24"/>
        </w:rPr>
      </w:pPr>
    </w:p>
    <w:sectPr w:rsidR="00912F04" w:rsidRPr="00FD5CD8" w:rsidSect="00D3043E">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28E" w:rsidRDefault="005D128E" w:rsidP="00426CBC">
      <w:pPr>
        <w:spacing w:after="0" w:line="240" w:lineRule="auto"/>
      </w:pPr>
      <w:r>
        <w:separator/>
      </w:r>
    </w:p>
  </w:endnote>
  <w:endnote w:type="continuationSeparator" w:id="0">
    <w:p w:rsidR="005D128E" w:rsidRDefault="005D128E" w:rsidP="00426C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95617"/>
      <w:docPartObj>
        <w:docPartGallery w:val="Page Numbers (Bottom of Page)"/>
        <w:docPartUnique/>
      </w:docPartObj>
    </w:sdtPr>
    <w:sdtContent>
      <w:p w:rsidR="00C85294" w:rsidRDefault="0074632B">
        <w:pPr>
          <w:pStyle w:val="Footer"/>
          <w:jc w:val="center"/>
        </w:pPr>
        <w:fldSimple w:instr=" PAGE   \* MERGEFORMAT ">
          <w:r w:rsidR="00CF5D54">
            <w:rPr>
              <w:noProof/>
            </w:rPr>
            <w:t>2</w:t>
          </w:r>
        </w:fldSimple>
      </w:p>
    </w:sdtContent>
  </w:sdt>
  <w:p w:rsidR="00C85294" w:rsidRDefault="00C852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28E" w:rsidRDefault="005D128E" w:rsidP="00426CBC">
      <w:pPr>
        <w:spacing w:after="0" w:line="240" w:lineRule="auto"/>
      </w:pPr>
      <w:r>
        <w:separator/>
      </w:r>
    </w:p>
  </w:footnote>
  <w:footnote w:type="continuationSeparator" w:id="0">
    <w:p w:rsidR="005D128E" w:rsidRDefault="005D128E" w:rsidP="00426CBC">
      <w:pPr>
        <w:spacing w:after="0" w:line="240" w:lineRule="auto"/>
      </w:pPr>
      <w:r>
        <w:continuationSeparator/>
      </w:r>
    </w:p>
  </w:footnote>
  <w:footnote w:id="1">
    <w:p w:rsidR="00C85294" w:rsidRPr="00354A9C" w:rsidRDefault="00C85294" w:rsidP="00354A9C">
      <w:pPr>
        <w:pStyle w:val="NoSpacing"/>
        <w:rPr>
          <w:b/>
          <w:sz w:val="20"/>
          <w:szCs w:val="20"/>
          <w:u w:val="single"/>
        </w:rPr>
      </w:pPr>
      <w:r w:rsidRPr="00354A9C">
        <w:rPr>
          <w:rStyle w:val="FootnoteReference"/>
          <w:sz w:val="20"/>
          <w:szCs w:val="20"/>
        </w:rPr>
        <w:footnoteRef/>
      </w:r>
      <w:r>
        <w:rPr>
          <w:sz w:val="20"/>
          <w:szCs w:val="20"/>
        </w:rPr>
        <w:t xml:space="preserve">N. </w:t>
      </w:r>
      <w:proofErr w:type="spellStart"/>
      <w:r>
        <w:rPr>
          <w:sz w:val="20"/>
          <w:szCs w:val="20"/>
        </w:rPr>
        <w:t>Milanovic</w:t>
      </w:r>
      <w:proofErr w:type="spellEnd"/>
      <w:r>
        <w:rPr>
          <w:sz w:val="20"/>
          <w:szCs w:val="20"/>
        </w:rPr>
        <w:t xml:space="preserve">. </w:t>
      </w:r>
      <w:r w:rsidRPr="00E60185">
        <w:rPr>
          <w:i/>
          <w:sz w:val="20"/>
          <w:szCs w:val="20"/>
        </w:rPr>
        <w:t>Law State Citizen – LAWS 2502 – Course Paper Topics</w:t>
      </w:r>
      <w:r>
        <w:rPr>
          <w:i/>
          <w:sz w:val="20"/>
          <w:szCs w:val="20"/>
        </w:rPr>
        <w:t>: Essay Topic #1</w:t>
      </w:r>
      <w:r>
        <w:rPr>
          <w:sz w:val="20"/>
          <w:szCs w:val="20"/>
        </w:rPr>
        <w:t xml:space="preserve">. </w:t>
      </w:r>
      <w:proofErr w:type="spellStart"/>
      <w:proofErr w:type="gramStart"/>
      <w:r>
        <w:rPr>
          <w:sz w:val="20"/>
          <w:szCs w:val="20"/>
        </w:rPr>
        <w:t>WebCT</w:t>
      </w:r>
      <w:proofErr w:type="spellEnd"/>
      <w:r>
        <w:rPr>
          <w:sz w:val="20"/>
          <w:szCs w:val="20"/>
        </w:rPr>
        <w:t>.</w:t>
      </w:r>
      <w:proofErr w:type="gramEnd"/>
      <w:r>
        <w:rPr>
          <w:sz w:val="20"/>
          <w:szCs w:val="20"/>
        </w:rPr>
        <w:t xml:space="preserve"> 2011. Para.1</w:t>
      </w:r>
    </w:p>
  </w:footnote>
  <w:footnote w:id="2">
    <w:p w:rsidR="00C85294" w:rsidRDefault="00C85294" w:rsidP="004E4E85">
      <w:pPr>
        <w:pStyle w:val="FootnoteText"/>
      </w:pPr>
      <w:r>
        <w:rPr>
          <w:rStyle w:val="FootnoteReference"/>
        </w:rPr>
        <w:footnoteRef/>
      </w:r>
      <w:r>
        <w:t xml:space="preserve"> Ibid note at para.1</w:t>
      </w:r>
    </w:p>
  </w:footnote>
  <w:footnote w:id="3">
    <w:p w:rsidR="00C85294" w:rsidRPr="006F4C58" w:rsidRDefault="00C85294" w:rsidP="0027398A">
      <w:pPr>
        <w:pStyle w:val="FootnoteText"/>
      </w:pPr>
      <w:r>
        <w:rPr>
          <w:rStyle w:val="FootnoteReference"/>
        </w:rPr>
        <w:footnoteRef/>
      </w:r>
      <w:r w:rsidRPr="00A47A8B">
        <w:rPr>
          <w:i/>
        </w:rPr>
        <w:t xml:space="preserve">Canadian Charter of Rights and Freedoms: </w:t>
      </w:r>
      <w:r w:rsidRPr="006F4C58">
        <w:rPr>
          <w:i/>
        </w:rPr>
        <w:t>Fundamental Freedoms.</w:t>
      </w:r>
      <w:r w:rsidRPr="006F4C58">
        <w:t xml:space="preserve"> </w:t>
      </w:r>
      <w:hyperlink r:id="rId1" w:anchor="anchorbo-ga:l_I-gb:s_2" w:history="1">
        <w:r w:rsidRPr="006F4C58">
          <w:rPr>
            <w:rStyle w:val="Hyperlink"/>
            <w:color w:val="auto"/>
            <w:u w:val="none"/>
          </w:rPr>
          <w:t>http://laws-lois.justice.gc.ca/eng/charter/page-1.html#anchorbo-ga:l_I-gb:s_2</w:t>
        </w:r>
      </w:hyperlink>
      <w:r w:rsidRPr="006F4C58">
        <w:t xml:space="preserve"> (1982)</w:t>
      </w:r>
    </w:p>
  </w:footnote>
  <w:footnote w:id="4">
    <w:p w:rsidR="00C85294" w:rsidRPr="006F4C58" w:rsidRDefault="00C85294" w:rsidP="0027398A">
      <w:pPr>
        <w:pStyle w:val="FootnoteText"/>
      </w:pPr>
      <w:r w:rsidRPr="006F4C58">
        <w:rPr>
          <w:rStyle w:val="FootnoteReference"/>
        </w:rPr>
        <w:footnoteRef/>
      </w:r>
      <w:r w:rsidRPr="006F4C58">
        <w:t xml:space="preserve"> Ibid </w:t>
      </w:r>
    </w:p>
  </w:footnote>
  <w:footnote w:id="5">
    <w:p w:rsidR="00C85294" w:rsidRDefault="00C85294" w:rsidP="0027398A">
      <w:pPr>
        <w:pStyle w:val="FootnoteText"/>
      </w:pPr>
      <w:r w:rsidRPr="006F4C58">
        <w:rPr>
          <w:rStyle w:val="FootnoteReference"/>
        </w:rPr>
        <w:footnoteRef/>
      </w:r>
      <w:r w:rsidRPr="006F4C58">
        <w:t xml:space="preserve"> Ontario (Attorney General) v. Fraser, 2011 SCC 2</w:t>
      </w:r>
      <w:r>
        <w:t>0</w:t>
      </w:r>
    </w:p>
  </w:footnote>
  <w:footnote w:id="6">
    <w:p w:rsidR="00C85294" w:rsidRPr="00E60185" w:rsidRDefault="00C85294" w:rsidP="004E4E85">
      <w:pPr>
        <w:pStyle w:val="FootnoteText"/>
      </w:pPr>
      <w:r>
        <w:rPr>
          <w:rStyle w:val="FootnoteReference"/>
        </w:rPr>
        <w:footnoteRef/>
      </w:r>
      <w:r>
        <w:t xml:space="preserve"> </w:t>
      </w:r>
      <w:proofErr w:type="spellStart"/>
      <w:proofErr w:type="gramStart"/>
      <w:r>
        <w:t>Milanovic</w:t>
      </w:r>
      <w:proofErr w:type="spellEnd"/>
      <w:r>
        <w:t>.</w:t>
      </w:r>
      <w:proofErr w:type="gramEnd"/>
      <w:r>
        <w:t xml:space="preserve"> </w:t>
      </w:r>
      <w:r>
        <w:rPr>
          <w:i/>
        </w:rPr>
        <w:t>Supra</w:t>
      </w:r>
      <w:r>
        <w:t xml:space="preserve"> note at para.2</w:t>
      </w:r>
    </w:p>
  </w:footnote>
  <w:footnote w:id="7">
    <w:p w:rsidR="00C85294" w:rsidRPr="00E147E0" w:rsidRDefault="00C85294">
      <w:pPr>
        <w:pStyle w:val="FootnoteText"/>
      </w:pPr>
      <w:r>
        <w:rPr>
          <w:rStyle w:val="FootnoteReference"/>
        </w:rPr>
        <w:footnoteRef/>
      </w:r>
      <w:r>
        <w:t xml:space="preserve"> </w:t>
      </w:r>
      <w:hyperlink r:id="rId2" w:history="1">
        <w:r w:rsidRPr="00E147E0">
          <w:rPr>
            <w:rStyle w:val="Hyperlink"/>
            <w:color w:val="auto"/>
            <w:u w:val="none"/>
            <w:shd w:val="clear" w:color="auto" w:fill="FFFFFF"/>
          </w:rPr>
          <w:t>Fraser</w:t>
        </w:r>
        <w:r>
          <w:rPr>
            <w:rStyle w:val="Hyperlink"/>
            <w:color w:val="auto"/>
            <w:u w:val="none"/>
            <w:shd w:val="clear" w:color="auto" w:fill="FFFFFF"/>
          </w:rPr>
          <w:t xml:space="preserve"> v. Ontario (Attorney General),</w:t>
        </w:r>
        <w:r w:rsidRPr="00E147E0">
          <w:rPr>
            <w:rStyle w:val="Hyperlink"/>
            <w:color w:val="auto"/>
            <w:u w:val="none"/>
            <w:shd w:val="clear" w:color="auto" w:fill="FFFFFF"/>
          </w:rPr>
          <w:t>[2006][1]</w:t>
        </w:r>
      </w:hyperlink>
      <w:r>
        <w:t xml:space="preserve"> OSCJ</w:t>
      </w:r>
    </w:p>
  </w:footnote>
  <w:footnote w:id="8">
    <w:p w:rsidR="00C85294" w:rsidRPr="00E147E0" w:rsidRDefault="00C85294" w:rsidP="007C6436">
      <w:pPr>
        <w:pStyle w:val="FootnoteText"/>
      </w:pPr>
      <w:r w:rsidRPr="00E147E0">
        <w:rPr>
          <w:rStyle w:val="FootnoteReference"/>
        </w:rPr>
        <w:footnoteRef/>
      </w:r>
      <w:r w:rsidRPr="00E147E0">
        <w:t xml:space="preserve"> Ontario (Attorney General) v. Fraser, 2011 SCC 20</w:t>
      </w:r>
    </w:p>
  </w:footnote>
  <w:footnote w:id="9">
    <w:p w:rsidR="00C85294" w:rsidRPr="00E147E0" w:rsidRDefault="00C85294" w:rsidP="00C53281">
      <w:pPr>
        <w:pStyle w:val="FootnoteText"/>
      </w:pPr>
      <w:r w:rsidRPr="00E147E0">
        <w:rPr>
          <w:rStyle w:val="FootnoteReference"/>
        </w:rPr>
        <w:footnoteRef/>
      </w:r>
      <w:r w:rsidRPr="00E147E0">
        <w:t xml:space="preserve"> </w:t>
      </w:r>
      <w:r>
        <w:t>J.</w:t>
      </w:r>
      <w:r w:rsidRPr="00E147E0">
        <w:t xml:space="preserve"> </w:t>
      </w:r>
      <w:proofErr w:type="spellStart"/>
      <w:r w:rsidRPr="00E147E0">
        <w:t>Bakan</w:t>
      </w:r>
      <w:proofErr w:type="spellEnd"/>
      <w:r w:rsidRPr="00E147E0">
        <w:t xml:space="preserve">. Just Words: Constitutional Rights and Social Wrongs. </w:t>
      </w:r>
      <w:proofErr w:type="gramStart"/>
      <w:r w:rsidRPr="00E147E0">
        <w:t>University of Toronto Press.</w:t>
      </w:r>
      <w:proofErr w:type="gramEnd"/>
      <w:r w:rsidRPr="00E147E0">
        <w:t xml:space="preserve"> Pg. 79</w:t>
      </w:r>
    </w:p>
  </w:footnote>
  <w:footnote w:id="10">
    <w:p w:rsidR="00C85294" w:rsidRDefault="00C85294" w:rsidP="00445E3A">
      <w:pPr>
        <w:pStyle w:val="FootnoteText"/>
      </w:pPr>
      <w:r w:rsidRPr="00E147E0">
        <w:rPr>
          <w:rStyle w:val="FootnoteReference"/>
        </w:rPr>
        <w:footnoteRef/>
      </w:r>
      <w:r w:rsidRPr="00E147E0">
        <w:t xml:space="preserve"> </w:t>
      </w:r>
      <w:hyperlink r:id="rId3" w:history="1">
        <w:r>
          <w:rPr>
            <w:rStyle w:val="Hyperlink"/>
            <w:color w:val="auto"/>
            <w:u w:val="none"/>
            <w:shd w:val="clear" w:color="auto" w:fill="FFFFFF"/>
          </w:rPr>
          <w:t>Fraser v. Ontario (Attorney General),</w:t>
        </w:r>
        <w:r w:rsidRPr="00E147E0">
          <w:rPr>
            <w:rStyle w:val="Hyperlink"/>
            <w:color w:val="auto"/>
            <w:u w:val="none"/>
            <w:shd w:val="clear" w:color="auto" w:fill="FFFFFF"/>
          </w:rPr>
          <w:t>[2006][1]</w:t>
        </w:r>
      </w:hyperlink>
    </w:p>
  </w:footnote>
  <w:footnote w:id="11">
    <w:p w:rsidR="00C85294" w:rsidRDefault="00C85294">
      <w:pPr>
        <w:pStyle w:val="FootnoteText"/>
      </w:pPr>
      <w:r>
        <w:rPr>
          <w:rStyle w:val="FootnoteReference"/>
        </w:rPr>
        <w:footnoteRef/>
      </w:r>
      <w:r>
        <w:t xml:space="preserve"> </w:t>
      </w:r>
      <w:proofErr w:type="spellStart"/>
      <w:proofErr w:type="gramStart"/>
      <w:r>
        <w:t>Milanovic</w:t>
      </w:r>
      <w:proofErr w:type="spellEnd"/>
      <w:r>
        <w:t>.</w:t>
      </w:r>
      <w:proofErr w:type="gramEnd"/>
      <w:r>
        <w:t xml:space="preserve"> </w:t>
      </w:r>
      <w:r>
        <w:rPr>
          <w:i/>
        </w:rPr>
        <w:t>Supra</w:t>
      </w:r>
      <w:r>
        <w:t xml:space="preserve"> note at para.3</w:t>
      </w:r>
    </w:p>
  </w:footnote>
  <w:footnote w:id="12">
    <w:p w:rsidR="00C85294" w:rsidRDefault="00C85294">
      <w:pPr>
        <w:pStyle w:val="FootnoteText"/>
      </w:pPr>
      <w:r>
        <w:rPr>
          <w:rStyle w:val="FootnoteReference"/>
        </w:rPr>
        <w:footnoteRef/>
      </w:r>
      <w:r>
        <w:t xml:space="preserve"> P. </w:t>
      </w:r>
      <w:proofErr w:type="spellStart"/>
      <w:r>
        <w:t>Bryden</w:t>
      </w:r>
      <w:proofErr w:type="spellEnd"/>
      <w:r>
        <w:t xml:space="preserve"> [</w:t>
      </w:r>
      <w:proofErr w:type="spellStart"/>
      <w:r>
        <w:t>et.all</w:t>
      </w:r>
      <w:proofErr w:type="spellEnd"/>
      <w:r>
        <w:t xml:space="preserve">] </w:t>
      </w:r>
      <w:r>
        <w:rPr>
          <w:i/>
        </w:rPr>
        <w:t xml:space="preserve">Protecting Rights and </w:t>
      </w:r>
      <w:r w:rsidRPr="000C1439">
        <w:t>Freedoms</w:t>
      </w:r>
      <w:r>
        <w:t>:</w:t>
      </w:r>
      <w:r>
        <w:rPr>
          <w:i/>
        </w:rPr>
        <w:t xml:space="preserve"> Essays on the Charter’s Place in Canada’s Political, Legal, and Intellectual </w:t>
      </w:r>
      <w:r w:rsidRPr="000C1439">
        <w:t>Life</w:t>
      </w:r>
      <w:r>
        <w:t xml:space="preserve">. </w:t>
      </w:r>
      <w:proofErr w:type="gramStart"/>
      <w:r>
        <w:t>University of Toronto Press.</w:t>
      </w:r>
      <w:proofErr w:type="gramEnd"/>
      <w:r>
        <w:t xml:space="preserve"> </w:t>
      </w:r>
      <w:r w:rsidRPr="000C1439">
        <w:t>Pg</w:t>
      </w:r>
      <w:r>
        <w:t>.93</w:t>
      </w:r>
    </w:p>
  </w:footnote>
  <w:footnote w:id="13">
    <w:p w:rsidR="00C85294" w:rsidRDefault="00C85294">
      <w:pPr>
        <w:pStyle w:val="FootnoteText"/>
      </w:pPr>
      <w:r>
        <w:rPr>
          <w:rStyle w:val="FootnoteReference"/>
        </w:rPr>
        <w:footnoteRef/>
      </w:r>
      <w:r>
        <w:t xml:space="preserve"> </w:t>
      </w:r>
      <w:proofErr w:type="spellStart"/>
      <w:proofErr w:type="gramStart"/>
      <w:r>
        <w:t>Milanovic</w:t>
      </w:r>
      <w:proofErr w:type="spellEnd"/>
      <w:r>
        <w:t>.</w:t>
      </w:r>
      <w:proofErr w:type="gramEnd"/>
      <w:r>
        <w:t xml:space="preserve"> </w:t>
      </w:r>
      <w:r>
        <w:rPr>
          <w:i/>
        </w:rPr>
        <w:t>Supra</w:t>
      </w:r>
      <w:r>
        <w:t xml:space="preserve"> note at para.4</w:t>
      </w:r>
    </w:p>
  </w:footnote>
  <w:footnote w:id="14">
    <w:p w:rsidR="00C85294" w:rsidRDefault="00C85294">
      <w:pPr>
        <w:pStyle w:val="FootnoteText"/>
      </w:pPr>
      <w:r>
        <w:rPr>
          <w:rStyle w:val="FootnoteReference"/>
        </w:rPr>
        <w:footnoteRef/>
      </w:r>
      <w:r>
        <w:t xml:space="preserve"> Ibid note at para.4</w:t>
      </w:r>
    </w:p>
  </w:footnote>
  <w:footnote w:id="15">
    <w:p w:rsidR="00C85294" w:rsidRDefault="00C85294">
      <w:pPr>
        <w:pStyle w:val="FootnoteText"/>
      </w:pPr>
      <w:r>
        <w:rPr>
          <w:rStyle w:val="FootnoteReference"/>
        </w:rPr>
        <w:footnoteRef/>
      </w:r>
      <w:r>
        <w:t xml:space="preserve"> P. </w:t>
      </w:r>
      <w:proofErr w:type="spellStart"/>
      <w:r>
        <w:t>Bryden</w:t>
      </w:r>
      <w:proofErr w:type="spellEnd"/>
      <w:r>
        <w:t xml:space="preserve"> [</w:t>
      </w:r>
      <w:proofErr w:type="spellStart"/>
      <w:r>
        <w:t>et.all</w:t>
      </w:r>
      <w:proofErr w:type="spellEnd"/>
      <w:r>
        <w:t xml:space="preserve">] </w:t>
      </w:r>
      <w:r>
        <w:rPr>
          <w:i/>
        </w:rPr>
        <w:t xml:space="preserve">Protecting Rights and </w:t>
      </w:r>
      <w:r w:rsidRPr="000C1439">
        <w:t>Freedoms</w:t>
      </w:r>
      <w:r>
        <w:t>:</w:t>
      </w:r>
      <w:r>
        <w:rPr>
          <w:i/>
        </w:rPr>
        <w:t xml:space="preserve"> Essays on the Charter’s Place in Canada’s Political, Legal, and Intellectual </w:t>
      </w:r>
      <w:r w:rsidRPr="000C1439">
        <w:t>Life</w:t>
      </w:r>
      <w:r>
        <w:t xml:space="preserve">. </w:t>
      </w:r>
      <w:proofErr w:type="gramStart"/>
      <w:r>
        <w:t>University of Toronto Press.</w:t>
      </w:r>
      <w:proofErr w:type="gramEnd"/>
      <w:r>
        <w:t xml:space="preserve"> </w:t>
      </w:r>
      <w:r w:rsidRPr="000C1439">
        <w:t>Pg</w:t>
      </w:r>
      <w:r>
        <w:t>.94</w:t>
      </w:r>
    </w:p>
  </w:footnote>
  <w:footnote w:id="16">
    <w:p w:rsidR="00C85294" w:rsidRDefault="00C85294">
      <w:pPr>
        <w:pStyle w:val="FootnoteText"/>
      </w:pPr>
      <w:r>
        <w:rPr>
          <w:rStyle w:val="FootnoteReference"/>
        </w:rPr>
        <w:footnoteRef/>
      </w:r>
      <w:r>
        <w:t xml:space="preserve"> </w:t>
      </w:r>
      <w:proofErr w:type="spellStart"/>
      <w:proofErr w:type="gramStart"/>
      <w:r>
        <w:t>Milanovic</w:t>
      </w:r>
      <w:proofErr w:type="spellEnd"/>
      <w:r>
        <w:t>.</w:t>
      </w:r>
      <w:proofErr w:type="gramEnd"/>
      <w:r>
        <w:t xml:space="preserve"> </w:t>
      </w:r>
      <w:r>
        <w:rPr>
          <w:i/>
        </w:rPr>
        <w:t>Supra</w:t>
      </w:r>
      <w:r>
        <w:t xml:space="preserve"> note at para.4</w:t>
      </w:r>
    </w:p>
  </w:footnote>
  <w:footnote w:id="17">
    <w:p w:rsidR="00C85294" w:rsidRDefault="00C85294" w:rsidP="00D31971">
      <w:pPr>
        <w:pStyle w:val="FootnoteText"/>
      </w:pPr>
      <w:r>
        <w:rPr>
          <w:rStyle w:val="FootnoteReference"/>
        </w:rPr>
        <w:footnoteRef/>
      </w:r>
      <w:r>
        <w:t xml:space="preserve"> Ibid note at para.6</w:t>
      </w:r>
    </w:p>
  </w:footnote>
  <w:footnote w:id="18">
    <w:p w:rsidR="00C85294" w:rsidRDefault="00C85294">
      <w:pPr>
        <w:pStyle w:val="FootnoteText"/>
      </w:pPr>
      <w:r>
        <w:rPr>
          <w:rStyle w:val="FootnoteReference"/>
        </w:rPr>
        <w:footnoteRef/>
      </w:r>
      <w:r>
        <w:t xml:space="preserve"> </w:t>
      </w:r>
      <w:hyperlink r:id="rId4" w:history="1">
        <w:r w:rsidRPr="00E147E0">
          <w:rPr>
            <w:rStyle w:val="Hyperlink"/>
            <w:color w:val="auto"/>
            <w:u w:val="none"/>
            <w:shd w:val="clear" w:color="auto" w:fill="FFFFFF"/>
          </w:rPr>
          <w:t>Fraser</w:t>
        </w:r>
        <w:r>
          <w:rPr>
            <w:rStyle w:val="Hyperlink"/>
            <w:color w:val="auto"/>
            <w:u w:val="none"/>
            <w:shd w:val="clear" w:color="auto" w:fill="FFFFFF"/>
          </w:rPr>
          <w:t xml:space="preserve"> v. Ontario (Attorney General),[2008</w:t>
        </w:r>
        <w:r w:rsidRPr="00E147E0">
          <w:rPr>
            <w:rStyle w:val="Hyperlink"/>
            <w:color w:val="auto"/>
            <w:u w:val="none"/>
            <w:shd w:val="clear" w:color="auto" w:fill="FFFFFF"/>
          </w:rPr>
          <w:t>][1]</w:t>
        </w:r>
      </w:hyperlink>
      <w:r>
        <w:t xml:space="preserve"> OCA</w:t>
      </w:r>
    </w:p>
  </w:footnote>
  <w:footnote w:id="19">
    <w:p w:rsidR="00C85294" w:rsidRDefault="00C85294">
      <w:pPr>
        <w:pStyle w:val="FootnoteText"/>
      </w:pPr>
      <w:r>
        <w:rPr>
          <w:rStyle w:val="FootnoteReference"/>
        </w:rPr>
        <w:footnoteRef/>
      </w:r>
      <w:r>
        <w:t xml:space="preserve"> Ibid note at page.6</w:t>
      </w:r>
    </w:p>
  </w:footnote>
  <w:footnote w:id="20">
    <w:p w:rsidR="00C85294" w:rsidRDefault="00C85294">
      <w:pPr>
        <w:pStyle w:val="FootnoteText"/>
      </w:pPr>
      <w:r>
        <w:rPr>
          <w:rStyle w:val="FootnoteReference"/>
        </w:rPr>
        <w:footnoteRef/>
      </w:r>
      <w:r>
        <w:t xml:space="preserve"> Ibid note at page.6</w:t>
      </w:r>
    </w:p>
  </w:footnote>
  <w:footnote w:id="21">
    <w:p w:rsidR="00C85294" w:rsidRDefault="00C85294" w:rsidP="00D31BFF">
      <w:pPr>
        <w:pStyle w:val="FootnoteText"/>
      </w:pPr>
      <w:r>
        <w:rPr>
          <w:rStyle w:val="FootnoteReference"/>
        </w:rPr>
        <w:footnoteRef/>
      </w:r>
      <w:r>
        <w:t xml:space="preserve"> Ibid note at para.7</w:t>
      </w:r>
    </w:p>
  </w:footnote>
  <w:footnote w:id="22">
    <w:p w:rsidR="00C85294" w:rsidRDefault="00C85294">
      <w:pPr>
        <w:pStyle w:val="FootnoteText"/>
      </w:pPr>
      <w:r>
        <w:rPr>
          <w:rStyle w:val="FootnoteReference"/>
        </w:rPr>
        <w:footnoteRef/>
      </w:r>
      <w:r>
        <w:t xml:space="preserve"> T. Bateman [et.al]. </w:t>
      </w:r>
      <w:r w:rsidRPr="000A7C5F">
        <w:rPr>
          <w:i/>
        </w:rPr>
        <w:t>The Court and the Charter: leading cases. Health Services and Support-Facilities Subsector Bargaining Assn. v. British Columbia</w:t>
      </w:r>
      <w:r>
        <w:t xml:space="preserve">. </w:t>
      </w:r>
      <w:proofErr w:type="spellStart"/>
      <w:r>
        <w:t>Emond</w:t>
      </w:r>
      <w:proofErr w:type="spellEnd"/>
      <w:r>
        <w:t xml:space="preserve"> Montgomery publications limited. Toronto Canada 2008. Page.152 </w:t>
      </w:r>
    </w:p>
  </w:footnote>
  <w:footnote w:id="23">
    <w:p w:rsidR="00C85294" w:rsidRDefault="00C85294">
      <w:pPr>
        <w:pStyle w:val="FootnoteText"/>
      </w:pPr>
      <w:r>
        <w:rPr>
          <w:rStyle w:val="FootnoteReference"/>
        </w:rPr>
        <w:footnoteRef/>
      </w:r>
      <w:r>
        <w:t xml:space="preserve"> Ibid page. 153</w:t>
      </w:r>
    </w:p>
  </w:footnote>
  <w:footnote w:id="24">
    <w:p w:rsidR="00C85294" w:rsidRDefault="00C85294" w:rsidP="00AC61A1">
      <w:pPr>
        <w:pStyle w:val="FootnoteText"/>
      </w:pPr>
      <w:r>
        <w:rPr>
          <w:rStyle w:val="FootnoteReference"/>
        </w:rPr>
        <w:footnoteRef/>
      </w:r>
      <w:r>
        <w:t xml:space="preserve"> D. Beatty. </w:t>
      </w:r>
      <w:proofErr w:type="gramStart"/>
      <w:r w:rsidRPr="000A7C5F">
        <w:rPr>
          <w:i/>
        </w:rPr>
        <w:t>Constitutional Law in Theory and Practice</w:t>
      </w:r>
      <w:r>
        <w:t>.</w:t>
      </w:r>
      <w:proofErr w:type="gramEnd"/>
      <w:r>
        <w:t xml:space="preserve"> </w:t>
      </w:r>
      <w:proofErr w:type="gramStart"/>
      <w:r>
        <w:t>University of Toronto Press.</w:t>
      </w:r>
      <w:proofErr w:type="gramEnd"/>
      <w:r>
        <w:t xml:space="preserve"> </w:t>
      </w:r>
      <w:r w:rsidRPr="007E1AF1">
        <w:t>Na</w:t>
      </w:r>
      <w:r>
        <w:t>. page.23</w:t>
      </w:r>
    </w:p>
  </w:footnote>
  <w:footnote w:id="25">
    <w:p w:rsidR="00C85294" w:rsidRDefault="00C85294">
      <w:pPr>
        <w:pStyle w:val="FootnoteText"/>
      </w:pPr>
      <w:r>
        <w:rPr>
          <w:rStyle w:val="FootnoteReference"/>
        </w:rPr>
        <w:footnoteRef/>
      </w:r>
      <w:r>
        <w:t xml:space="preserve"> </w:t>
      </w:r>
      <w:proofErr w:type="spellStart"/>
      <w:proofErr w:type="gramStart"/>
      <w:r>
        <w:t>Milanovic</w:t>
      </w:r>
      <w:proofErr w:type="spellEnd"/>
      <w:r>
        <w:t>.</w:t>
      </w:r>
      <w:proofErr w:type="gramEnd"/>
      <w:r>
        <w:t xml:space="preserve"> </w:t>
      </w:r>
      <w:r>
        <w:rPr>
          <w:i/>
        </w:rPr>
        <w:t>Supra</w:t>
      </w:r>
      <w:r>
        <w:t xml:space="preserve"> note at para.7</w:t>
      </w:r>
    </w:p>
  </w:footnote>
  <w:footnote w:id="26">
    <w:p w:rsidR="00C85294" w:rsidRDefault="00C85294" w:rsidP="0060663C">
      <w:pPr>
        <w:pStyle w:val="FootnoteText"/>
      </w:pPr>
      <w:r>
        <w:rPr>
          <w:rStyle w:val="FootnoteReference"/>
        </w:rPr>
        <w:footnoteRef/>
      </w:r>
      <w:r>
        <w:t xml:space="preserve"> Beatty </w:t>
      </w:r>
      <w:r>
        <w:rPr>
          <w:i/>
        </w:rPr>
        <w:t xml:space="preserve">supra </w:t>
      </w:r>
      <w:r>
        <w:t>note at page.17</w:t>
      </w:r>
    </w:p>
  </w:footnote>
  <w:footnote w:id="27">
    <w:p w:rsidR="00C85294" w:rsidRDefault="00C85294">
      <w:pPr>
        <w:pStyle w:val="FootnoteText"/>
      </w:pPr>
      <w:r>
        <w:rPr>
          <w:rStyle w:val="FootnoteReference"/>
        </w:rPr>
        <w:footnoteRef/>
      </w:r>
      <w:r>
        <w:t xml:space="preserve"> </w:t>
      </w:r>
      <w:proofErr w:type="spellStart"/>
      <w:proofErr w:type="gramStart"/>
      <w:r>
        <w:t>Milanovic</w:t>
      </w:r>
      <w:proofErr w:type="spellEnd"/>
      <w:r>
        <w:t>.</w:t>
      </w:r>
      <w:proofErr w:type="gramEnd"/>
      <w:r>
        <w:t xml:space="preserve"> </w:t>
      </w:r>
      <w:r>
        <w:rPr>
          <w:i/>
        </w:rPr>
        <w:t>Supra</w:t>
      </w:r>
      <w:r>
        <w:t xml:space="preserve"> note at para.8</w:t>
      </w:r>
    </w:p>
  </w:footnote>
  <w:footnote w:id="28">
    <w:p w:rsidR="00236818" w:rsidRPr="00511687" w:rsidRDefault="00236818" w:rsidP="00236818">
      <w:pPr>
        <w:pStyle w:val="FootnoteText"/>
        <w:rPr>
          <w:i/>
        </w:rPr>
      </w:pPr>
      <w:r>
        <w:rPr>
          <w:rStyle w:val="FootnoteReference"/>
        </w:rPr>
        <w:footnoteRef/>
      </w:r>
      <w:r>
        <w:t xml:space="preserve"> </w:t>
      </w:r>
      <w:r w:rsidRPr="00E147E0">
        <w:t>Ontario (Attorney General) v. Fraser, 2011 SCC 20</w:t>
      </w:r>
      <w:r>
        <w:t xml:space="preserve"> parap.44</w:t>
      </w:r>
    </w:p>
  </w:footnote>
  <w:footnote w:id="29">
    <w:p w:rsidR="00C85294" w:rsidRDefault="00C85294" w:rsidP="002B2979">
      <w:pPr>
        <w:pStyle w:val="FootnoteText"/>
      </w:pPr>
      <w:r>
        <w:rPr>
          <w:rStyle w:val="FootnoteReference"/>
        </w:rPr>
        <w:footnoteRef/>
      </w:r>
      <w:r>
        <w:t xml:space="preserve"> </w:t>
      </w:r>
      <w:proofErr w:type="spellStart"/>
      <w:proofErr w:type="gramStart"/>
      <w:r>
        <w:t>Milanovic</w:t>
      </w:r>
      <w:proofErr w:type="spellEnd"/>
      <w:r>
        <w:t>.</w:t>
      </w:r>
      <w:proofErr w:type="gramEnd"/>
      <w:r>
        <w:t xml:space="preserve"> </w:t>
      </w:r>
      <w:r>
        <w:rPr>
          <w:i/>
        </w:rPr>
        <w:t>Supra</w:t>
      </w:r>
      <w:r>
        <w:t xml:space="preserve"> note at </w:t>
      </w:r>
      <w:proofErr w:type="spellStart"/>
      <w:r>
        <w:t>para</w:t>
      </w:r>
      <w:proofErr w:type="spellEnd"/>
      <w:r>
        <w:t>.</w:t>
      </w:r>
    </w:p>
  </w:footnote>
  <w:footnote w:id="30">
    <w:p w:rsidR="00C85294" w:rsidRPr="00511687" w:rsidRDefault="00C85294">
      <w:pPr>
        <w:pStyle w:val="FootnoteText"/>
        <w:rPr>
          <w:i/>
        </w:rPr>
      </w:pPr>
      <w:r>
        <w:rPr>
          <w:rStyle w:val="FootnoteReference"/>
        </w:rPr>
        <w:footnoteRef/>
      </w:r>
      <w:r>
        <w:t xml:space="preserve"> </w:t>
      </w:r>
      <w:r w:rsidRPr="00E147E0">
        <w:t>Ontario (Attorney General) v. Fraser, 2011 SCC 20</w:t>
      </w:r>
      <w:r>
        <w:t xml:space="preserve"> parap.44</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A0CAB"/>
    <w:rsid w:val="0000156B"/>
    <w:rsid w:val="00007148"/>
    <w:rsid w:val="00022606"/>
    <w:rsid w:val="0002702E"/>
    <w:rsid w:val="00027451"/>
    <w:rsid w:val="00031574"/>
    <w:rsid w:val="000352E2"/>
    <w:rsid w:val="00035415"/>
    <w:rsid w:val="00046603"/>
    <w:rsid w:val="00056745"/>
    <w:rsid w:val="0006110D"/>
    <w:rsid w:val="000640F1"/>
    <w:rsid w:val="0006730E"/>
    <w:rsid w:val="00073E99"/>
    <w:rsid w:val="00085654"/>
    <w:rsid w:val="00090D52"/>
    <w:rsid w:val="000A7C5F"/>
    <w:rsid w:val="000B2A6F"/>
    <w:rsid w:val="000C1439"/>
    <w:rsid w:val="000C153C"/>
    <w:rsid w:val="000C40F6"/>
    <w:rsid w:val="000E0FD6"/>
    <w:rsid w:val="000E4CD9"/>
    <w:rsid w:val="000E541A"/>
    <w:rsid w:val="00102CAC"/>
    <w:rsid w:val="001035BB"/>
    <w:rsid w:val="00113A95"/>
    <w:rsid w:val="00125AA5"/>
    <w:rsid w:val="001435BC"/>
    <w:rsid w:val="00147A5B"/>
    <w:rsid w:val="00160411"/>
    <w:rsid w:val="00177AB8"/>
    <w:rsid w:val="00194F0C"/>
    <w:rsid w:val="00195056"/>
    <w:rsid w:val="001C0A8B"/>
    <w:rsid w:val="001C1A9C"/>
    <w:rsid w:val="001D6D9C"/>
    <w:rsid w:val="001E00E8"/>
    <w:rsid w:val="001F644C"/>
    <w:rsid w:val="002014A1"/>
    <w:rsid w:val="00205F4C"/>
    <w:rsid w:val="002079C2"/>
    <w:rsid w:val="00212AE6"/>
    <w:rsid w:val="00214CAB"/>
    <w:rsid w:val="00221155"/>
    <w:rsid w:val="002238DF"/>
    <w:rsid w:val="00236818"/>
    <w:rsid w:val="00243306"/>
    <w:rsid w:val="00264EAF"/>
    <w:rsid w:val="0026590B"/>
    <w:rsid w:val="0027398A"/>
    <w:rsid w:val="00297F72"/>
    <w:rsid w:val="002A5FC2"/>
    <w:rsid w:val="002B2979"/>
    <w:rsid w:val="002B7A21"/>
    <w:rsid w:val="002C67EF"/>
    <w:rsid w:val="002D0A9B"/>
    <w:rsid w:val="002D6EA6"/>
    <w:rsid w:val="002E2358"/>
    <w:rsid w:val="002F5A17"/>
    <w:rsid w:val="003141C8"/>
    <w:rsid w:val="00323FA4"/>
    <w:rsid w:val="00344412"/>
    <w:rsid w:val="00350394"/>
    <w:rsid w:val="00354A9C"/>
    <w:rsid w:val="0036008C"/>
    <w:rsid w:val="0036650C"/>
    <w:rsid w:val="003714B6"/>
    <w:rsid w:val="00374492"/>
    <w:rsid w:val="00382298"/>
    <w:rsid w:val="0038449C"/>
    <w:rsid w:val="00386A59"/>
    <w:rsid w:val="003C2F8C"/>
    <w:rsid w:val="003C3248"/>
    <w:rsid w:val="003D13A2"/>
    <w:rsid w:val="003D510E"/>
    <w:rsid w:val="003E36E1"/>
    <w:rsid w:val="003E3CAE"/>
    <w:rsid w:val="003E6DA9"/>
    <w:rsid w:val="00414061"/>
    <w:rsid w:val="00426CBC"/>
    <w:rsid w:val="00435E98"/>
    <w:rsid w:val="0043703D"/>
    <w:rsid w:val="00437761"/>
    <w:rsid w:val="00445E3A"/>
    <w:rsid w:val="00456B6C"/>
    <w:rsid w:val="00473D3B"/>
    <w:rsid w:val="004755E4"/>
    <w:rsid w:val="00482EE9"/>
    <w:rsid w:val="0048663A"/>
    <w:rsid w:val="00490ED0"/>
    <w:rsid w:val="004916F8"/>
    <w:rsid w:val="00493F26"/>
    <w:rsid w:val="004A48E7"/>
    <w:rsid w:val="004B0F89"/>
    <w:rsid w:val="004B440A"/>
    <w:rsid w:val="004E4D27"/>
    <w:rsid w:val="004E4E85"/>
    <w:rsid w:val="004F2BF5"/>
    <w:rsid w:val="00506CD5"/>
    <w:rsid w:val="00507049"/>
    <w:rsid w:val="00511687"/>
    <w:rsid w:val="00535327"/>
    <w:rsid w:val="00545E2B"/>
    <w:rsid w:val="005603B6"/>
    <w:rsid w:val="00563255"/>
    <w:rsid w:val="00570353"/>
    <w:rsid w:val="00593186"/>
    <w:rsid w:val="00593A2B"/>
    <w:rsid w:val="005979B1"/>
    <w:rsid w:val="005A64E8"/>
    <w:rsid w:val="005B0BEE"/>
    <w:rsid w:val="005B5BB6"/>
    <w:rsid w:val="005D08CB"/>
    <w:rsid w:val="005D128E"/>
    <w:rsid w:val="005D233B"/>
    <w:rsid w:val="005E36D1"/>
    <w:rsid w:val="005F0242"/>
    <w:rsid w:val="0060663C"/>
    <w:rsid w:val="00607CD5"/>
    <w:rsid w:val="00610031"/>
    <w:rsid w:val="00615C08"/>
    <w:rsid w:val="00615E4F"/>
    <w:rsid w:val="00626BAE"/>
    <w:rsid w:val="00651A7E"/>
    <w:rsid w:val="00654BA1"/>
    <w:rsid w:val="006870F7"/>
    <w:rsid w:val="0069542F"/>
    <w:rsid w:val="006A24BB"/>
    <w:rsid w:val="006A2DA7"/>
    <w:rsid w:val="006B40F0"/>
    <w:rsid w:val="006B47BD"/>
    <w:rsid w:val="006C22C0"/>
    <w:rsid w:val="006C23D3"/>
    <w:rsid w:val="006C385A"/>
    <w:rsid w:val="006E75BA"/>
    <w:rsid w:val="006F4C58"/>
    <w:rsid w:val="00707F0B"/>
    <w:rsid w:val="0074632B"/>
    <w:rsid w:val="00751294"/>
    <w:rsid w:val="00753BA7"/>
    <w:rsid w:val="0076282F"/>
    <w:rsid w:val="007735BA"/>
    <w:rsid w:val="0079076D"/>
    <w:rsid w:val="007A07CB"/>
    <w:rsid w:val="007C141B"/>
    <w:rsid w:val="007C6268"/>
    <w:rsid w:val="007C6436"/>
    <w:rsid w:val="007D02CA"/>
    <w:rsid w:val="007D24C2"/>
    <w:rsid w:val="007D5313"/>
    <w:rsid w:val="007E1AF1"/>
    <w:rsid w:val="007E4D7D"/>
    <w:rsid w:val="007F574A"/>
    <w:rsid w:val="00801F1F"/>
    <w:rsid w:val="0080233B"/>
    <w:rsid w:val="00807B29"/>
    <w:rsid w:val="008105D9"/>
    <w:rsid w:val="00815EF9"/>
    <w:rsid w:val="00822305"/>
    <w:rsid w:val="00831F7F"/>
    <w:rsid w:val="00855B97"/>
    <w:rsid w:val="008606F6"/>
    <w:rsid w:val="00867B49"/>
    <w:rsid w:val="0088232E"/>
    <w:rsid w:val="00892392"/>
    <w:rsid w:val="008A2DA3"/>
    <w:rsid w:val="008A5E47"/>
    <w:rsid w:val="008C1CBB"/>
    <w:rsid w:val="00912F04"/>
    <w:rsid w:val="0095179C"/>
    <w:rsid w:val="00951C1C"/>
    <w:rsid w:val="00955322"/>
    <w:rsid w:val="009605B7"/>
    <w:rsid w:val="00960F5F"/>
    <w:rsid w:val="00962666"/>
    <w:rsid w:val="009634B0"/>
    <w:rsid w:val="009747EF"/>
    <w:rsid w:val="0099143A"/>
    <w:rsid w:val="00991A20"/>
    <w:rsid w:val="00995EED"/>
    <w:rsid w:val="00996935"/>
    <w:rsid w:val="009A1C1F"/>
    <w:rsid w:val="009A4094"/>
    <w:rsid w:val="009C49FC"/>
    <w:rsid w:val="009D11A7"/>
    <w:rsid w:val="009F0235"/>
    <w:rsid w:val="009F6EF5"/>
    <w:rsid w:val="00A10CDC"/>
    <w:rsid w:val="00A13EDB"/>
    <w:rsid w:val="00A205BC"/>
    <w:rsid w:val="00A26907"/>
    <w:rsid w:val="00A450A8"/>
    <w:rsid w:val="00A47A8B"/>
    <w:rsid w:val="00A5592C"/>
    <w:rsid w:val="00A66FE7"/>
    <w:rsid w:val="00A7278B"/>
    <w:rsid w:val="00AA4E74"/>
    <w:rsid w:val="00AB03B9"/>
    <w:rsid w:val="00AB07FA"/>
    <w:rsid w:val="00AB3878"/>
    <w:rsid w:val="00AB6A19"/>
    <w:rsid w:val="00AB7B65"/>
    <w:rsid w:val="00AC61A1"/>
    <w:rsid w:val="00AD6716"/>
    <w:rsid w:val="00AE287B"/>
    <w:rsid w:val="00AE61FB"/>
    <w:rsid w:val="00AF3144"/>
    <w:rsid w:val="00B03020"/>
    <w:rsid w:val="00B13E9C"/>
    <w:rsid w:val="00B1656D"/>
    <w:rsid w:val="00B32365"/>
    <w:rsid w:val="00B33365"/>
    <w:rsid w:val="00B3532D"/>
    <w:rsid w:val="00B40EED"/>
    <w:rsid w:val="00B451DC"/>
    <w:rsid w:val="00B601D5"/>
    <w:rsid w:val="00B60C2C"/>
    <w:rsid w:val="00B615EA"/>
    <w:rsid w:val="00B65771"/>
    <w:rsid w:val="00B708C6"/>
    <w:rsid w:val="00B91BCB"/>
    <w:rsid w:val="00B96567"/>
    <w:rsid w:val="00BB0BEF"/>
    <w:rsid w:val="00BB7769"/>
    <w:rsid w:val="00BC155B"/>
    <w:rsid w:val="00BC7415"/>
    <w:rsid w:val="00BD41FE"/>
    <w:rsid w:val="00BD6E7D"/>
    <w:rsid w:val="00BF0081"/>
    <w:rsid w:val="00BF7896"/>
    <w:rsid w:val="00C03AC3"/>
    <w:rsid w:val="00C162B4"/>
    <w:rsid w:val="00C378B1"/>
    <w:rsid w:val="00C4045B"/>
    <w:rsid w:val="00C46DF1"/>
    <w:rsid w:val="00C505A9"/>
    <w:rsid w:val="00C50D8C"/>
    <w:rsid w:val="00C53281"/>
    <w:rsid w:val="00C55E81"/>
    <w:rsid w:val="00C613A4"/>
    <w:rsid w:val="00C85294"/>
    <w:rsid w:val="00C91624"/>
    <w:rsid w:val="00C94846"/>
    <w:rsid w:val="00C961D7"/>
    <w:rsid w:val="00CA13BA"/>
    <w:rsid w:val="00CA35C5"/>
    <w:rsid w:val="00CB0754"/>
    <w:rsid w:val="00CC1F9D"/>
    <w:rsid w:val="00CE5EE2"/>
    <w:rsid w:val="00CE6B29"/>
    <w:rsid w:val="00CE6CF0"/>
    <w:rsid w:val="00CF1A8D"/>
    <w:rsid w:val="00CF5D54"/>
    <w:rsid w:val="00CF7649"/>
    <w:rsid w:val="00D026E7"/>
    <w:rsid w:val="00D02F96"/>
    <w:rsid w:val="00D13401"/>
    <w:rsid w:val="00D16D71"/>
    <w:rsid w:val="00D2607B"/>
    <w:rsid w:val="00D3043E"/>
    <w:rsid w:val="00D31971"/>
    <w:rsid w:val="00D31BFF"/>
    <w:rsid w:val="00D3459A"/>
    <w:rsid w:val="00D369DD"/>
    <w:rsid w:val="00D4458B"/>
    <w:rsid w:val="00D47189"/>
    <w:rsid w:val="00D603EC"/>
    <w:rsid w:val="00D63EA0"/>
    <w:rsid w:val="00D64A08"/>
    <w:rsid w:val="00D64C24"/>
    <w:rsid w:val="00D73E7C"/>
    <w:rsid w:val="00D81BCE"/>
    <w:rsid w:val="00D832A2"/>
    <w:rsid w:val="00DA6906"/>
    <w:rsid w:val="00DB2DCF"/>
    <w:rsid w:val="00DB2FA5"/>
    <w:rsid w:val="00DC00D8"/>
    <w:rsid w:val="00DC07C9"/>
    <w:rsid w:val="00DC4F6B"/>
    <w:rsid w:val="00DD1655"/>
    <w:rsid w:val="00DE347E"/>
    <w:rsid w:val="00DE46BF"/>
    <w:rsid w:val="00DE77AB"/>
    <w:rsid w:val="00DE7A8D"/>
    <w:rsid w:val="00DF34CA"/>
    <w:rsid w:val="00E1041F"/>
    <w:rsid w:val="00E107BD"/>
    <w:rsid w:val="00E147E0"/>
    <w:rsid w:val="00E25475"/>
    <w:rsid w:val="00E25495"/>
    <w:rsid w:val="00E322B9"/>
    <w:rsid w:val="00E3770C"/>
    <w:rsid w:val="00E5381D"/>
    <w:rsid w:val="00E569BF"/>
    <w:rsid w:val="00E60185"/>
    <w:rsid w:val="00E62129"/>
    <w:rsid w:val="00E76C00"/>
    <w:rsid w:val="00E7759A"/>
    <w:rsid w:val="00E82CD2"/>
    <w:rsid w:val="00E96626"/>
    <w:rsid w:val="00EA0CAB"/>
    <w:rsid w:val="00EC0BFC"/>
    <w:rsid w:val="00ED1D77"/>
    <w:rsid w:val="00ED5FC3"/>
    <w:rsid w:val="00F17D49"/>
    <w:rsid w:val="00F330F6"/>
    <w:rsid w:val="00F42DC5"/>
    <w:rsid w:val="00F44805"/>
    <w:rsid w:val="00F64A36"/>
    <w:rsid w:val="00F71C81"/>
    <w:rsid w:val="00FC06BD"/>
    <w:rsid w:val="00FC4734"/>
    <w:rsid w:val="00FC5C07"/>
    <w:rsid w:val="00FD0F11"/>
    <w:rsid w:val="00FD5CD8"/>
    <w:rsid w:val="00FF17E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B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6BAE"/>
    <w:pPr>
      <w:pBdr>
        <w:bottom w:val="single" w:sz="8" w:space="4" w:color="FF388C" w:themeColor="accent1"/>
      </w:pBdr>
      <w:spacing w:after="300" w:line="240" w:lineRule="auto"/>
      <w:contextualSpacing/>
    </w:pPr>
    <w:rPr>
      <w:rFonts w:asciiTheme="majorHAnsi" w:eastAsiaTheme="majorEastAsia" w:hAnsiTheme="majorHAnsi" w:cstheme="majorBidi"/>
      <w:color w:val="4C4C4C" w:themeColor="text2" w:themeShade="BF"/>
      <w:spacing w:val="5"/>
      <w:kern w:val="28"/>
      <w:sz w:val="52"/>
      <w:szCs w:val="52"/>
    </w:rPr>
  </w:style>
  <w:style w:type="character" w:customStyle="1" w:styleId="TitleChar">
    <w:name w:val="Title Char"/>
    <w:basedOn w:val="DefaultParagraphFont"/>
    <w:link w:val="Title"/>
    <w:uiPriority w:val="10"/>
    <w:rsid w:val="00626BAE"/>
    <w:rPr>
      <w:rFonts w:asciiTheme="majorHAnsi" w:eastAsiaTheme="majorEastAsia" w:hAnsiTheme="majorHAnsi" w:cstheme="majorBidi"/>
      <w:color w:val="4C4C4C" w:themeColor="text2" w:themeShade="BF"/>
      <w:spacing w:val="5"/>
      <w:kern w:val="28"/>
      <w:sz w:val="52"/>
      <w:szCs w:val="52"/>
    </w:rPr>
  </w:style>
  <w:style w:type="paragraph" w:styleId="FootnoteText">
    <w:name w:val="footnote text"/>
    <w:basedOn w:val="Normal"/>
    <w:link w:val="FootnoteTextChar"/>
    <w:uiPriority w:val="99"/>
    <w:semiHidden/>
    <w:unhideWhenUsed/>
    <w:rsid w:val="00426C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6CBC"/>
    <w:rPr>
      <w:sz w:val="20"/>
      <w:szCs w:val="20"/>
    </w:rPr>
  </w:style>
  <w:style w:type="character" w:styleId="FootnoteReference">
    <w:name w:val="footnote reference"/>
    <w:basedOn w:val="DefaultParagraphFont"/>
    <w:uiPriority w:val="99"/>
    <w:semiHidden/>
    <w:unhideWhenUsed/>
    <w:rsid w:val="00426CBC"/>
    <w:rPr>
      <w:vertAlign w:val="superscript"/>
    </w:rPr>
  </w:style>
  <w:style w:type="character" w:customStyle="1" w:styleId="apple-style-span">
    <w:name w:val="apple-style-span"/>
    <w:basedOn w:val="DefaultParagraphFont"/>
    <w:rsid w:val="003714B6"/>
  </w:style>
  <w:style w:type="character" w:styleId="Hyperlink">
    <w:name w:val="Hyperlink"/>
    <w:basedOn w:val="DefaultParagraphFont"/>
    <w:uiPriority w:val="99"/>
    <w:semiHidden/>
    <w:unhideWhenUsed/>
    <w:rsid w:val="003714B6"/>
    <w:rPr>
      <w:color w:val="0000FF"/>
      <w:u w:val="single"/>
    </w:rPr>
  </w:style>
  <w:style w:type="character" w:customStyle="1" w:styleId="apple-converted-space">
    <w:name w:val="apple-converted-space"/>
    <w:basedOn w:val="DefaultParagraphFont"/>
    <w:rsid w:val="00955322"/>
  </w:style>
  <w:style w:type="paragraph" w:styleId="NoSpacing">
    <w:name w:val="No Spacing"/>
    <w:uiPriority w:val="1"/>
    <w:qFormat/>
    <w:rsid w:val="00354A9C"/>
    <w:pPr>
      <w:spacing w:after="0" w:line="240" w:lineRule="auto"/>
    </w:pPr>
  </w:style>
  <w:style w:type="paragraph" w:styleId="Header">
    <w:name w:val="header"/>
    <w:basedOn w:val="Normal"/>
    <w:link w:val="HeaderChar"/>
    <w:uiPriority w:val="99"/>
    <w:semiHidden/>
    <w:unhideWhenUsed/>
    <w:rsid w:val="0088232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232E"/>
  </w:style>
  <w:style w:type="paragraph" w:styleId="Footer">
    <w:name w:val="footer"/>
    <w:basedOn w:val="Normal"/>
    <w:link w:val="FooterChar"/>
    <w:uiPriority w:val="99"/>
    <w:unhideWhenUsed/>
    <w:rsid w:val="008823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32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javascript:submitLoad('3224105316031','PAGE_TYPE',%20false,%20false)" TargetMode="External"/><Relationship Id="rId2" Type="http://schemas.openxmlformats.org/officeDocument/2006/relationships/hyperlink" Target="javascript:submitLoad('3224105316031','PAGE_TYPE',%20false,%20false)" TargetMode="External"/><Relationship Id="rId1" Type="http://schemas.openxmlformats.org/officeDocument/2006/relationships/hyperlink" Target="http://laws-lois.justice.gc.ca/eng/charter/page-1.html" TargetMode="External"/><Relationship Id="rId4" Type="http://schemas.openxmlformats.org/officeDocument/2006/relationships/hyperlink" Target="javascript:submitLoad('3224105316031','PAGE_TYPE',%20false,%20false)" TargetMode="External"/></Relationships>
</file>

<file path=word/theme/theme1.xml><?xml version="1.0" encoding="utf-8"?>
<a:theme xmlns:a="http://schemas.openxmlformats.org/drawingml/2006/main" name="Office Theme">
  <a:themeElements>
    <a:clrScheme name="Verve">
      <a:dk1>
        <a:sysClr val="windowText" lastClr="000000"/>
      </a:dk1>
      <a:lt1>
        <a:sysClr val="window" lastClr="FFFFFF"/>
      </a:lt1>
      <a:dk2>
        <a:srgbClr val="666666"/>
      </a:dk2>
      <a:lt2>
        <a:srgbClr val="D2D2D2"/>
      </a:lt2>
      <a:accent1>
        <a:srgbClr val="FF388C"/>
      </a:accent1>
      <a:accent2>
        <a:srgbClr val="E40059"/>
      </a:accent2>
      <a:accent3>
        <a:srgbClr val="9C007F"/>
      </a:accent3>
      <a:accent4>
        <a:srgbClr val="68007F"/>
      </a:accent4>
      <a:accent5>
        <a:srgbClr val="005BD3"/>
      </a:accent5>
      <a:accent6>
        <a:srgbClr val="00349E"/>
      </a:accent6>
      <a:hlink>
        <a:srgbClr val="17BBFD"/>
      </a:hlink>
      <a:folHlink>
        <a:srgbClr val="FF79C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E8BDF-2417-41FE-AAC9-25846D9B6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10</Pages>
  <Words>2033</Words>
  <Characters>11590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Sofia Muktar</dc:creator>
  <cp:lastModifiedBy>Sofia Muktar</cp:lastModifiedBy>
  <cp:revision>311</cp:revision>
  <dcterms:created xsi:type="dcterms:W3CDTF">2011-08-09T15:50:00Z</dcterms:created>
  <dcterms:modified xsi:type="dcterms:W3CDTF">2011-08-15T02:24:00Z</dcterms:modified>
</cp:coreProperties>
</file>