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D4C" w:rsidRDefault="000F4D4C" w:rsidP="000F4D4C">
      <w:pPr>
        <w:rPr>
          <w:b/>
          <w:sz w:val="28"/>
        </w:rPr>
      </w:pPr>
      <w:r>
        <w:rPr>
          <w:b/>
          <w:sz w:val="28"/>
        </w:rPr>
        <w:t>Chapter 4</w:t>
      </w:r>
      <w:r w:rsidRPr="00923E7E">
        <w:rPr>
          <w:b/>
          <w:sz w:val="28"/>
        </w:rPr>
        <w:t>:</w:t>
      </w:r>
      <w:r>
        <w:rPr>
          <w:b/>
          <w:sz w:val="28"/>
        </w:rPr>
        <w:t xml:space="preserve"> </w:t>
      </w:r>
    </w:p>
    <w:p w:rsidR="000F4D4C" w:rsidRDefault="000F4D4C" w:rsidP="000F4D4C">
      <w:r w:rsidRPr="00233ADA">
        <w:t>Growth is extraordi</w:t>
      </w:r>
      <w:r>
        <w:t xml:space="preserve">narily rapid during the first year. Growth is fairly steady through preschool and elementary school years. In early adolescence, growth is rapid again. </w:t>
      </w:r>
    </w:p>
    <w:p w:rsidR="000F4D4C" w:rsidRDefault="000F4D4C" w:rsidP="000F4D4C">
      <w:r>
        <w:t>Physical growth in the prenatal period and through childhood follows two distinct trends:</w:t>
      </w:r>
    </w:p>
    <w:p w:rsidR="000F4D4C" w:rsidRDefault="000F4D4C" w:rsidP="000F4D4C">
      <w:pPr>
        <w:pStyle w:val="ListParagraph"/>
        <w:numPr>
          <w:ilvl w:val="0"/>
          <w:numId w:val="1"/>
        </w:numPr>
      </w:pPr>
      <w:r>
        <w:t>Cepholocaudal: head to tail growth</w:t>
      </w:r>
    </w:p>
    <w:p w:rsidR="000F4D4C" w:rsidRDefault="000F4D4C" w:rsidP="000F4D4C">
      <w:pPr>
        <w:pStyle w:val="ListParagraph"/>
        <w:numPr>
          <w:ilvl w:val="0"/>
          <w:numId w:val="1"/>
        </w:numPr>
      </w:pPr>
      <w:r>
        <w:t>Proximodistal: close in to further out</w:t>
      </w:r>
    </w:p>
    <w:p w:rsidR="000F4D4C" w:rsidRDefault="000F4D4C" w:rsidP="000F4D4C">
      <w:r>
        <w:t xml:space="preserve">The head and trunks grow faster than the legs. A layer of fat appears under the skin near the end of the fetal period of prenatal development; its purpose is to help the fetus and infant regulate body temperature. Fat continues to accumulate rapidly during the first year after birth, producing the look we call “baby fat”. Bone begins to form during prenatal development, starting as </w:t>
      </w:r>
      <w:r>
        <w:rPr>
          <w:b/>
        </w:rPr>
        <w:t>cartilage</w:t>
      </w:r>
      <w:r>
        <w:t xml:space="preserve">, a soft, flexible tissue. During the embryonic period, the center of the tissue turns into bone. Then shortly before birth, the ends of the cartilage structures, known as </w:t>
      </w:r>
      <w:r>
        <w:rPr>
          <w:b/>
        </w:rPr>
        <w:t>epiphyses,</w:t>
      </w:r>
      <w:r>
        <w:t xml:space="preserve"> turn to bone. </w:t>
      </w:r>
    </w:p>
    <w:p w:rsidR="000F4D4C" w:rsidRDefault="000F4D4C" w:rsidP="000F4D4C">
      <w:r>
        <w:rPr>
          <w:b/>
        </w:rPr>
        <w:t>Secular growth trends:</w:t>
      </w:r>
      <w:r>
        <w:t xml:space="preserve"> changes in physical development from one generation to the next. </w:t>
      </w:r>
    </w:p>
    <w:p w:rsidR="000F4D4C" w:rsidRDefault="000F4D4C" w:rsidP="000F4D4C">
      <w:r>
        <w:t>How are genetic instructions translated into actual growth?</w:t>
      </w:r>
    </w:p>
    <w:p w:rsidR="000F4D4C" w:rsidRDefault="000F4D4C" w:rsidP="000F4D4C">
      <w:pPr>
        <w:pStyle w:val="ListParagraph"/>
        <w:numPr>
          <w:ilvl w:val="0"/>
          <w:numId w:val="1"/>
        </w:numPr>
      </w:pPr>
      <w:r>
        <w:t>Sleep</w:t>
      </w:r>
    </w:p>
    <w:p w:rsidR="000F4D4C" w:rsidRDefault="000F4D4C" w:rsidP="000F4D4C">
      <w:pPr>
        <w:pStyle w:val="ListParagraph"/>
        <w:numPr>
          <w:ilvl w:val="1"/>
          <w:numId w:val="1"/>
        </w:numPr>
      </w:pPr>
      <w:r>
        <w:t xml:space="preserve">Sleep is essential for normal growth because about 80% of the hormone that stimulates growth, growth hormone, is secreted while children and adolescents sleep. Growth hormone is secreted during sleep by the pituitary gland in the brain; from the brain, growth hormone travels to the liver, where it triggers the release of another hormone, somatomedin, which causes muscles and bones to grow. </w:t>
      </w:r>
    </w:p>
    <w:p w:rsidR="000F4D4C" w:rsidRDefault="000F4D4C" w:rsidP="000F4D4C">
      <w:pPr>
        <w:pStyle w:val="ListParagraph"/>
        <w:numPr>
          <w:ilvl w:val="1"/>
          <w:numId w:val="1"/>
        </w:numPr>
      </w:pPr>
      <w:r>
        <w:t xml:space="preserve">When children do not sleep well, their cognitive abilities are affected and this will often make them unable to pay attention in school. They’re also more likely to disregard teachers’ requests and are often aggressive. To take care of this, a </w:t>
      </w:r>
      <w:proofErr w:type="gramStart"/>
      <w:r>
        <w:t>bed time</w:t>
      </w:r>
      <w:proofErr w:type="gramEnd"/>
      <w:r>
        <w:t xml:space="preserve"> routine is advised. </w:t>
      </w:r>
    </w:p>
    <w:p w:rsidR="000F4D4C" w:rsidRDefault="000F4D4C" w:rsidP="000F4D4C">
      <w:pPr>
        <w:pStyle w:val="ListParagraph"/>
        <w:numPr>
          <w:ilvl w:val="1"/>
          <w:numId w:val="1"/>
        </w:numPr>
      </w:pPr>
      <w:r>
        <w:t xml:space="preserve">Sleep has also been linked to body weight. Lack of sleep and higher BMI are positively correlated. </w:t>
      </w:r>
    </w:p>
    <w:p w:rsidR="000F4D4C" w:rsidRDefault="000F4D4C" w:rsidP="000F4D4C">
      <w:pPr>
        <w:pStyle w:val="ListParagraph"/>
        <w:numPr>
          <w:ilvl w:val="0"/>
          <w:numId w:val="1"/>
        </w:numPr>
      </w:pPr>
      <w:r>
        <w:t>Nutrition</w:t>
      </w:r>
    </w:p>
    <w:p w:rsidR="000F4D4C" w:rsidRDefault="000F4D4C" w:rsidP="000F4D4C">
      <w:pPr>
        <w:pStyle w:val="ListParagraph"/>
        <w:numPr>
          <w:ilvl w:val="1"/>
          <w:numId w:val="1"/>
        </w:numPr>
      </w:pPr>
      <w:r>
        <w:t xml:space="preserve">The fuel for growth from the foods children eat and the liquids they drink. Breast-feeding is the best way to ensure that the babies get the nourishment they need. Human milk contains the proper amounts of carbohydrates, fats, proteins, vitamins, and minerals for babies. </w:t>
      </w:r>
    </w:p>
    <w:p w:rsidR="000F4D4C" w:rsidRDefault="000F4D4C" w:rsidP="000F4D4C">
      <w:pPr>
        <w:pStyle w:val="ListParagraph"/>
        <w:numPr>
          <w:ilvl w:val="1"/>
          <w:numId w:val="1"/>
        </w:numPr>
      </w:pPr>
      <w:r>
        <w:t>Advantages of breastfeeding:</w:t>
      </w:r>
    </w:p>
    <w:p w:rsidR="000F4D4C" w:rsidRDefault="000F4D4C" w:rsidP="000F4D4C">
      <w:pPr>
        <w:pStyle w:val="ListParagraph"/>
        <w:numPr>
          <w:ilvl w:val="2"/>
          <w:numId w:val="1"/>
        </w:numPr>
      </w:pPr>
      <w:r>
        <w:t>Breast milk contains antibodies that kill bacteria and viruses</w:t>
      </w:r>
    </w:p>
    <w:p w:rsidR="000F4D4C" w:rsidRDefault="000F4D4C" w:rsidP="000F4D4C">
      <w:pPr>
        <w:pStyle w:val="ListParagraph"/>
        <w:numPr>
          <w:ilvl w:val="2"/>
          <w:numId w:val="1"/>
        </w:numPr>
      </w:pPr>
      <w:r>
        <w:t>Breast-fed babies are less prone to diarrhea and constipation</w:t>
      </w:r>
    </w:p>
    <w:p w:rsidR="000F4D4C" w:rsidRDefault="000F4D4C" w:rsidP="000F4D4C">
      <w:pPr>
        <w:pStyle w:val="ListParagraph"/>
        <w:numPr>
          <w:ilvl w:val="2"/>
          <w:numId w:val="1"/>
        </w:numPr>
      </w:pPr>
      <w:r>
        <w:lastRenderedPageBreak/>
        <w:t xml:space="preserve">Breast-fed babies typically make the transition to solid foods more easily, apparently because they are accustomed to changes in the taste of breast milk that reflect a mother’s diet. </w:t>
      </w:r>
    </w:p>
    <w:p w:rsidR="000F4D4C" w:rsidRDefault="000F4D4C" w:rsidP="000F4D4C">
      <w:pPr>
        <w:pStyle w:val="ListParagraph"/>
        <w:numPr>
          <w:ilvl w:val="2"/>
          <w:numId w:val="1"/>
        </w:numPr>
      </w:pPr>
      <w:r>
        <w:t>Breast milk cannot be contaminated</w:t>
      </w:r>
    </w:p>
    <w:p w:rsidR="000F4D4C" w:rsidRDefault="000F4D4C" w:rsidP="000F4D4C">
      <w:pPr>
        <w:pStyle w:val="ListParagraph"/>
        <w:numPr>
          <w:ilvl w:val="1"/>
          <w:numId w:val="1"/>
        </w:numPr>
      </w:pPr>
      <w:r>
        <w:t>4 food groups</w:t>
      </w:r>
    </w:p>
    <w:p w:rsidR="000F4D4C" w:rsidRDefault="000F4D4C" w:rsidP="000F4D4C">
      <w:pPr>
        <w:pStyle w:val="ListParagraph"/>
        <w:numPr>
          <w:ilvl w:val="2"/>
          <w:numId w:val="1"/>
        </w:numPr>
      </w:pPr>
      <w:r>
        <w:t>Vegetables and fruits</w:t>
      </w:r>
    </w:p>
    <w:p w:rsidR="000F4D4C" w:rsidRDefault="000F4D4C" w:rsidP="000F4D4C">
      <w:pPr>
        <w:pStyle w:val="ListParagraph"/>
        <w:numPr>
          <w:ilvl w:val="2"/>
          <w:numId w:val="1"/>
        </w:numPr>
      </w:pPr>
      <w:r>
        <w:t>Rains</w:t>
      </w:r>
    </w:p>
    <w:p w:rsidR="000F4D4C" w:rsidRDefault="000F4D4C" w:rsidP="000F4D4C">
      <w:pPr>
        <w:pStyle w:val="ListParagraph"/>
        <w:numPr>
          <w:ilvl w:val="2"/>
          <w:numId w:val="1"/>
        </w:numPr>
      </w:pPr>
      <w:r>
        <w:t>Milk and alternatives</w:t>
      </w:r>
    </w:p>
    <w:p w:rsidR="000F4D4C" w:rsidRDefault="000F4D4C" w:rsidP="000F4D4C">
      <w:pPr>
        <w:pStyle w:val="ListParagraph"/>
        <w:numPr>
          <w:ilvl w:val="2"/>
          <w:numId w:val="1"/>
        </w:numPr>
      </w:pPr>
      <w:r>
        <w:t>Meat and alternatives</w:t>
      </w:r>
    </w:p>
    <w:p w:rsidR="000F4D4C" w:rsidRDefault="000F4D4C" w:rsidP="000F4D4C">
      <w:pPr>
        <w:pStyle w:val="ListParagraph"/>
        <w:numPr>
          <w:ilvl w:val="1"/>
          <w:numId w:val="1"/>
        </w:numPr>
      </w:pPr>
      <w:r>
        <w:t xml:space="preserve">A healthy diet avoids too much sugar and too much fat, especially trans-fat. </w:t>
      </w:r>
    </w:p>
    <w:p w:rsidR="000F4D4C" w:rsidRDefault="000F4D4C" w:rsidP="000F4D4C"/>
    <w:p w:rsidR="000F4D4C" w:rsidRDefault="000F4D4C" w:rsidP="000F4D4C">
      <w:r>
        <w:rPr>
          <w:b/>
        </w:rPr>
        <w:t xml:space="preserve">Puberty: </w:t>
      </w:r>
      <w:r>
        <w:t>adolescent growth spurt and sexual maturation.</w:t>
      </w:r>
    </w:p>
    <w:p w:rsidR="000F4D4C" w:rsidRDefault="000F4D4C" w:rsidP="000F4D4C">
      <w:proofErr w:type="gramStart"/>
      <w:r>
        <w:t>Girls</w:t>
      </w:r>
      <w:proofErr w:type="gramEnd"/>
      <w:r>
        <w:t xml:space="preserve"> sexual maturation: 9/10 age</w:t>
      </w:r>
    </w:p>
    <w:p w:rsidR="000F4D4C" w:rsidRDefault="000F4D4C" w:rsidP="000F4D4C">
      <w:proofErr w:type="gramStart"/>
      <w:r>
        <w:t>Boys</w:t>
      </w:r>
      <w:proofErr w:type="gramEnd"/>
      <w:r>
        <w:t xml:space="preserve"> sexual maturation: 11/12 age</w:t>
      </w:r>
    </w:p>
    <w:p w:rsidR="000F4D4C" w:rsidRDefault="000F4D4C" w:rsidP="000F4D4C">
      <w:pPr>
        <w:pStyle w:val="ListParagraph"/>
        <w:numPr>
          <w:ilvl w:val="0"/>
          <w:numId w:val="1"/>
        </w:numPr>
      </w:pPr>
      <w:r>
        <w:t>During this growth spurt, bones become longer and become denser.</w:t>
      </w:r>
    </w:p>
    <w:p w:rsidR="000F4D4C" w:rsidRDefault="000F4D4C" w:rsidP="000F4D4C">
      <w:pPr>
        <w:pStyle w:val="ListParagraph"/>
        <w:numPr>
          <w:ilvl w:val="0"/>
          <w:numId w:val="1"/>
        </w:numPr>
      </w:pPr>
      <w:r>
        <w:t>Muscle fibres become thicker and denser during adolescence, producing substantial increases in strength.</w:t>
      </w:r>
    </w:p>
    <w:p w:rsidR="000F4D4C" w:rsidRDefault="000F4D4C" w:rsidP="000F4D4C">
      <w:pPr>
        <w:pStyle w:val="ListParagraph"/>
        <w:numPr>
          <w:ilvl w:val="1"/>
          <w:numId w:val="1"/>
        </w:numPr>
      </w:pPr>
      <w:r>
        <w:t>Muscle growth is more pronounced in boys than in girls.</w:t>
      </w:r>
    </w:p>
    <w:p w:rsidR="000F4D4C" w:rsidRDefault="000F4D4C" w:rsidP="000F4D4C">
      <w:pPr>
        <w:pStyle w:val="ListParagraph"/>
        <w:numPr>
          <w:ilvl w:val="1"/>
          <w:numId w:val="1"/>
        </w:numPr>
      </w:pPr>
      <w:r>
        <w:t>Body fat increases more rapidly in girls than in boys.</w:t>
      </w:r>
    </w:p>
    <w:p w:rsidR="000F4D4C" w:rsidRDefault="000F4D4C" w:rsidP="000F4D4C">
      <w:pPr>
        <w:pStyle w:val="ListParagraph"/>
        <w:numPr>
          <w:ilvl w:val="1"/>
          <w:numId w:val="1"/>
        </w:numPr>
      </w:pPr>
      <w:r>
        <w:t xml:space="preserve">Heart and lung capacities increase more in adolescent boys than in adolescent girls. </w:t>
      </w:r>
    </w:p>
    <w:p w:rsidR="000F4D4C" w:rsidRDefault="000F4D4C" w:rsidP="000F4D4C">
      <w:pPr>
        <w:pStyle w:val="ListParagraph"/>
        <w:numPr>
          <w:ilvl w:val="0"/>
          <w:numId w:val="1"/>
        </w:numPr>
      </w:pPr>
      <w:r>
        <w:t>Boys hit it early=confident/athletic/popular</w:t>
      </w:r>
    </w:p>
    <w:p w:rsidR="000F4D4C" w:rsidRDefault="000F4D4C" w:rsidP="000F4D4C">
      <w:pPr>
        <w:pStyle w:val="ListParagraph"/>
        <w:numPr>
          <w:ilvl w:val="0"/>
          <w:numId w:val="1"/>
        </w:numPr>
      </w:pPr>
      <w:r>
        <w:t>Boys hit it late=inferior/socially inadequate</w:t>
      </w:r>
    </w:p>
    <w:p w:rsidR="000F4D4C" w:rsidRDefault="000F4D4C" w:rsidP="000F4D4C">
      <w:pPr>
        <w:pStyle w:val="ListParagraph"/>
        <w:numPr>
          <w:ilvl w:val="0"/>
          <w:numId w:val="1"/>
        </w:numPr>
      </w:pPr>
      <w:r>
        <w:t>Girls hit it early=less outgoing/less popular/anxiety/depression</w:t>
      </w:r>
    </w:p>
    <w:p w:rsidR="000F4D4C" w:rsidRDefault="000F4D4C" w:rsidP="000F4D4C">
      <w:pPr>
        <w:pStyle w:val="ListParagraph"/>
        <w:numPr>
          <w:ilvl w:val="0"/>
          <w:numId w:val="1"/>
        </w:numPr>
      </w:pPr>
      <w:r>
        <w:t>Girls hit it late=well fed/happy/ no stress environment</w:t>
      </w:r>
    </w:p>
    <w:p w:rsidR="000F4D4C" w:rsidRDefault="000F4D4C" w:rsidP="000F4D4C">
      <w:r>
        <w:rPr>
          <w:b/>
        </w:rPr>
        <w:t xml:space="preserve">Osteoporosis: </w:t>
      </w:r>
      <w:r w:rsidRPr="00E93DE5">
        <w:t xml:space="preserve">a disease in </w:t>
      </w:r>
      <w:r>
        <w:t xml:space="preserve">which a person’s bones become thin and brittle and, as a consequence, sometimes break. </w:t>
      </w:r>
    </w:p>
    <w:p w:rsidR="000F4D4C" w:rsidRDefault="000F4D4C" w:rsidP="000F4D4C">
      <w:r>
        <w:rPr>
          <w:b/>
        </w:rPr>
        <w:t>Primary sex characteristics:</w:t>
      </w:r>
      <w:r>
        <w:t xml:space="preserve"> refers to organs that are directly involved in reproduction. These organs include the ovaries, uterus, and vagina in girls and the scrotum, testes, and penis in boys.</w:t>
      </w:r>
    </w:p>
    <w:p w:rsidR="000F4D4C" w:rsidRDefault="000F4D4C" w:rsidP="000F4D4C">
      <w:r>
        <w:rPr>
          <w:b/>
        </w:rPr>
        <w:t xml:space="preserve">Secondary sex characteristics: </w:t>
      </w:r>
      <w:r>
        <w:t xml:space="preserve">physical signs of maturity that are not linked directly to the reproductive organs. These include growth of breasts and the widening of the pelvis in girls, the appearance of facial hair and the broadening of the shoulders in boys, and the appearance of body hair and changes in voice and skin in both boys and girls. </w:t>
      </w:r>
    </w:p>
    <w:p w:rsidR="000F4D4C" w:rsidRDefault="000F4D4C" w:rsidP="000F4D4C">
      <w:r>
        <w:rPr>
          <w:b/>
        </w:rPr>
        <w:t>Menarche:</w:t>
      </w:r>
      <w:r>
        <w:t xml:space="preserve"> the onset of menstruation typically occurs at about age 13. Early menstrual cycles are usually irregular and without ovulation. </w:t>
      </w:r>
    </w:p>
    <w:p w:rsidR="000F4D4C" w:rsidRDefault="000F4D4C" w:rsidP="000F4D4C">
      <w:proofErr w:type="gramStart"/>
      <w:r>
        <w:rPr>
          <w:b/>
        </w:rPr>
        <w:t xml:space="preserve">Spermarche: </w:t>
      </w:r>
      <w:r>
        <w:t>At about 13, the first spontaneous ejaculation of sperm-laden fluid.</w:t>
      </w:r>
      <w:proofErr w:type="gramEnd"/>
      <w:r>
        <w:t xml:space="preserve"> </w:t>
      </w:r>
    </w:p>
    <w:p w:rsidR="000F4D4C" w:rsidRDefault="000F4D4C" w:rsidP="000F4D4C">
      <w:r>
        <w:t>The timing of menarche is determined by genetics, nutrition, health, and social environment. One proposal is that when young girls experience chronic socioemotional stress – family life is harsh and they lack warm, supportive parents- the hormones elicited by this stress may help to activate those that in turn trigger menarche. When an environment is predictable and rich in resources, delayed reproduction is adaptive because this allows an adolescent girl to complete her own physical, cognitive, and social-emotional development, with the end result that she is a better parent. In contrast, when an environment is unstable and has little resource, early maturation and reproduction may be adaptive, rather than risking the possibility that reproduction may be impossible later.</w:t>
      </w:r>
    </w:p>
    <w:p w:rsidR="000F4D4C" w:rsidRDefault="000F4D4C" w:rsidP="000F4D4C">
      <w:r>
        <w:t xml:space="preserve">Malnutrition (15%) occurs when an adequate diet is unavailable. 1 in 3 children under age 5 suffer from malnutrition worldwide. Treating malnutrition requires improving children’s diet and teaching parents to stimulate their children’s development. </w:t>
      </w:r>
    </w:p>
    <w:p w:rsidR="000F4D4C" w:rsidRPr="009C4065" w:rsidRDefault="000F4D4C" w:rsidP="000F4D4C">
      <w:r w:rsidRPr="009C4065">
        <w:t>Marasmus is a form of severe malnutrition characterized by energy deficiency. A child with marasmus looks </w:t>
      </w:r>
      <w:hyperlink r:id="rId6" w:tooltip="Emaciation" w:history="1">
        <w:r w:rsidRPr="009C4065">
          <w:t>emaciated</w:t>
        </w:r>
      </w:hyperlink>
      <w:r w:rsidRPr="009C4065">
        <w:t>. Body weight may be reduced to less than 80% of the average weight that corresponds to the height</w:t>
      </w:r>
      <w:r>
        <w:t>.</w:t>
      </w:r>
      <w:r w:rsidRPr="009C4065">
        <w:t> Marasmus occurrence increases prior to age 1, whereas </w:t>
      </w:r>
      <w:hyperlink r:id="rId7" w:tooltip="Kwashiorkor" w:history="1">
        <w:r w:rsidRPr="009C4065">
          <w:t>kwashiorkor</w:t>
        </w:r>
      </w:hyperlink>
      <w:r w:rsidRPr="009C4065">
        <w:t> occurrence increases after 18 months. It can be distinguished from kwashiorkor in that kwashiorkor is protein wasting with the presence of </w:t>
      </w:r>
      <w:hyperlink r:id="rId8" w:tooltip="Edema" w:history="1">
        <w:r w:rsidRPr="009C4065">
          <w:t>edema</w:t>
        </w:r>
      </w:hyperlink>
      <w:r w:rsidRPr="009C4065">
        <w:t>.</w:t>
      </w:r>
    </w:p>
    <w:p w:rsidR="000F4D4C" w:rsidRPr="009C4065" w:rsidRDefault="000F4D4C" w:rsidP="000F4D4C">
      <w:r w:rsidRPr="009C4065">
        <w:t>The prognosis is better than it is for kwashiorkor</w:t>
      </w:r>
      <w:r>
        <w:t>.</w:t>
      </w:r>
    </w:p>
    <w:p w:rsidR="000F4D4C" w:rsidRDefault="000F4D4C" w:rsidP="000F4D4C">
      <w:r w:rsidRPr="009C4065">
        <w:t>Kwashiorkor is an </w:t>
      </w:r>
      <w:hyperlink r:id="rId9" w:tooltip="Acute (medicine)" w:history="1">
        <w:r w:rsidRPr="009C4065">
          <w:t>acute</w:t>
        </w:r>
      </w:hyperlink>
      <w:r w:rsidRPr="009C4065">
        <w:t> form of childhood protein-energy malnutrition characterized by </w:t>
      </w:r>
      <w:hyperlink r:id="rId10" w:tooltip="Edema" w:history="1">
        <w:r w:rsidRPr="009C4065">
          <w:t>edema</w:t>
        </w:r>
      </w:hyperlink>
      <w:r w:rsidRPr="009C4065">
        <w:t>, irritability, </w:t>
      </w:r>
      <w:hyperlink r:id="rId11" w:tooltip="Anorexia (symptom)" w:history="1">
        <w:r w:rsidRPr="009C4065">
          <w:t>anorexia</w:t>
        </w:r>
      </w:hyperlink>
      <w:r w:rsidRPr="009C4065">
        <w:t>, ulcerating dermatoses, and an enlarged liver with fatty infiltrates. Insufficient </w:t>
      </w:r>
      <w:hyperlink r:id="rId12" w:tooltip="Protein" w:history="1">
        <w:r w:rsidRPr="009C4065">
          <w:t>protein</w:t>
        </w:r>
      </w:hyperlink>
      <w:r w:rsidRPr="009C4065">
        <w:t> consumption, but with sufficient calorie intake, distinguishes it from </w:t>
      </w:r>
      <w:hyperlink r:id="rId13" w:tooltip="Marasmus" w:history="1">
        <w:r w:rsidRPr="009C4065">
          <w:t>marasmus</w:t>
        </w:r>
      </w:hyperlink>
      <w:r w:rsidRPr="009C4065">
        <w:t>. Kwashiorkor cases occur in areas of famine or poor food supply.</w:t>
      </w:r>
      <w:hyperlink r:id="rId14" w:anchor="cite_note-1" w:history="1">
        <w:r w:rsidRPr="000F4D4C">
          <w:rPr>
            <w:rStyle w:val="Hyperlink"/>
          </w:rPr>
          <w:t>http://en.wikipedia.org/wiki/Kwashiorkor - cite_note-1</w:t>
        </w:r>
      </w:hyperlink>
      <w:r w:rsidRPr="009C4065">
        <w:t> Cases in the developed world are rare.</w:t>
      </w:r>
      <w:r>
        <w:t xml:space="preserve"> </w:t>
      </w:r>
    </w:p>
    <w:p w:rsidR="000F4D4C" w:rsidRDefault="000F4D4C" w:rsidP="000F4D4C">
      <w:r>
        <w:t>Breakfast is very important since it provide about ¼ of a child’s daily calories. A solution is to produce free/reduced-price meals at schools.</w:t>
      </w:r>
    </w:p>
    <w:p w:rsidR="000F4D4C" w:rsidRDefault="000F4D4C" w:rsidP="000F4D4C">
      <w:r>
        <w:rPr>
          <w:b/>
        </w:rPr>
        <w:t xml:space="preserve">Anorexia nervosa: </w:t>
      </w:r>
      <w:r>
        <w:t>(up to 5%)</w:t>
      </w:r>
      <w:r>
        <w:rPr>
          <w:b/>
        </w:rPr>
        <w:t xml:space="preserve"> </w:t>
      </w:r>
      <w:r>
        <w:t xml:space="preserve">a disorder marked by a persistent refusal to eat and an irrational fear of being overweight. Anorexia is a very serious disorder than often leads to heart damage. </w:t>
      </w:r>
    </w:p>
    <w:p w:rsidR="000F4D4C" w:rsidRDefault="000F4D4C" w:rsidP="000F4D4C">
      <w:r>
        <w:rPr>
          <w:b/>
        </w:rPr>
        <w:t>Bulimia nervosa:</w:t>
      </w:r>
      <w:r>
        <w:t xml:space="preserve"> (up to 3%) alternate between binge eating periods when they eat uncontrollably, purging through self-induced vomiting or with laxatives. What’s common to all individuals with bulimia is the feeling that they cannot stop eating. 90% of the diagnosed conditions of bulimia and anorexia occur in girls. </w:t>
      </w:r>
    </w:p>
    <w:p w:rsidR="000F4D4C" w:rsidRDefault="000F4D4C" w:rsidP="000F4D4C">
      <w:r>
        <w:rPr>
          <w:b/>
        </w:rPr>
        <w:t>Body dysmorphic disorder:</w:t>
      </w:r>
      <w:r>
        <w:t xml:space="preserve"> the individual is not satisfied with their body shape or the shape of a particular part of the body, and perceived muscularity is often the focus. </w:t>
      </w:r>
    </w:p>
    <w:p w:rsidR="000F4D4C" w:rsidRDefault="000F4D4C" w:rsidP="000F4D4C">
      <w:r>
        <w:rPr>
          <w:b/>
        </w:rPr>
        <w:t>Obesity:</w:t>
      </w:r>
      <w:r>
        <w:t xml:space="preserve"> being overweight. The technical definition for being overweight is based on the body mass index (BMI). The BMI is an adjusted ratio of weigh to height. </w:t>
      </w:r>
    </w:p>
    <w:p w:rsidR="000F4D4C" w:rsidRDefault="000F4D4C" w:rsidP="000F4D4C">
      <w:r>
        <w:t xml:space="preserve">26% are overweight. 8% are obese between 2-17. </w:t>
      </w:r>
    </w:p>
    <w:p w:rsidR="000F4D4C" w:rsidRDefault="000F4D4C" w:rsidP="000F4D4C">
      <w:r>
        <w:t xml:space="preserve">Heredity may also help set </w:t>
      </w:r>
      <w:r>
        <w:rPr>
          <w:b/>
        </w:rPr>
        <w:t>basal metabolic rate</w:t>
      </w:r>
      <w:r>
        <w:t xml:space="preserve">, which is the speed at which the body consumer calories. </w:t>
      </w:r>
    </w:p>
    <w:p w:rsidR="000F4D4C" w:rsidRDefault="000F4D4C" w:rsidP="000F4D4C">
      <w:pPr>
        <w:rPr>
          <w:b/>
        </w:rPr>
      </w:pPr>
      <w:r>
        <w:t xml:space="preserve">The basic unit of the brain and the rest of the nervous system is the </w:t>
      </w:r>
      <w:r>
        <w:rPr>
          <w:b/>
        </w:rPr>
        <w:t>neuron.</w:t>
      </w:r>
      <w:r>
        <w:t xml:space="preserve"> A neuron specializes in receiving and transmitting information. Neurons come in many different shapes. The </w:t>
      </w:r>
      <w:r>
        <w:rPr>
          <w:b/>
        </w:rPr>
        <w:t>cell body</w:t>
      </w:r>
      <w:r>
        <w:t xml:space="preserve"> at the centre of the neuron contains the basic biological machinery that keeps the neuron alive. The receiving end of the neuron, the </w:t>
      </w:r>
      <w:r w:rsidRPr="00772523">
        <w:rPr>
          <w:b/>
        </w:rPr>
        <w:t>dendrite</w:t>
      </w:r>
      <w:r w:rsidRPr="00772523">
        <w:t>, looks like a tree with many branches. The highly branched dendrite allows one neuron to receive input</w:t>
      </w:r>
      <w:r>
        <w:t xml:space="preserve"> from many thousands of other neurons. The slender, elongated structure at the other end of the cell body is the </w:t>
      </w:r>
      <w:r>
        <w:rPr>
          <w:b/>
        </w:rPr>
        <w:t>axon</w:t>
      </w:r>
      <w:r>
        <w:t xml:space="preserve">, which sends information to other neurons. The axon is wrapped in </w:t>
      </w:r>
      <w:r>
        <w:rPr>
          <w:b/>
        </w:rPr>
        <w:t>myelin</w:t>
      </w:r>
      <w:r>
        <w:t xml:space="preserve">, a fatty sheath that slows it to transmit information more rapidly. At the end of the axon are small knobs called </w:t>
      </w:r>
      <w:r>
        <w:rPr>
          <w:b/>
        </w:rPr>
        <w:t xml:space="preserve">terminal </w:t>
      </w:r>
      <w:proofErr w:type="gramStart"/>
      <w:r>
        <w:rPr>
          <w:b/>
        </w:rPr>
        <w:t>buttons</w:t>
      </w:r>
      <w:r>
        <w:t xml:space="preserve"> which</w:t>
      </w:r>
      <w:proofErr w:type="gramEnd"/>
      <w:r>
        <w:t xml:space="preserve"> release </w:t>
      </w:r>
      <w:r>
        <w:rPr>
          <w:b/>
        </w:rPr>
        <w:t>neurotransmitters,</w:t>
      </w:r>
      <w:r>
        <w:t xml:space="preserve"> chemicals that carry information to nearby neurons. The gap between one neuron and the next is a </w:t>
      </w:r>
      <w:r>
        <w:rPr>
          <w:b/>
        </w:rPr>
        <w:t xml:space="preserve">synapse. </w:t>
      </w:r>
      <w:r>
        <w:t xml:space="preserve">The wrinkled surface of the brain is the </w:t>
      </w:r>
      <w:r>
        <w:rPr>
          <w:b/>
        </w:rPr>
        <w:t>cerebral cortex</w:t>
      </w:r>
      <w:r>
        <w:t xml:space="preserve">, made up of about 10 billion </w:t>
      </w:r>
      <w:proofErr w:type="gramStart"/>
      <w:r>
        <w:t>neurons,</w:t>
      </w:r>
      <w:proofErr w:type="gramEnd"/>
      <w:r>
        <w:t xml:space="preserve"> the cortex regulated many of the functions that we think of as distinctly human. The cortex consists of left and right halves, called hemispheres, which are linked by millions of </w:t>
      </w:r>
      <w:r>
        <w:rPr>
          <w:b/>
        </w:rPr>
        <w:t>axons</w:t>
      </w:r>
      <w:r>
        <w:t xml:space="preserve"> in a thick bundle called the </w:t>
      </w:r>
      <w:r>
        <w:rPr>
          <w:b/>
        </w:rPr>
        <w:t>corpus callosum</w:t>
      </w:r>
      <w:r>
        <w:t xml:space="preserve">. Your personality and your ability to make and carry out plans are largely functions of an area at the front of your cortex called the </w:t>
      </w:r>
      <w:r>
        <w:rPr>
          <w:b/>
        </w:rPr>
        <w:t xml:space="preserve">frontal cortex. </w:t>
      </w:r>
    </w:p>
    <w:p w:rsidR="000F4D4C" w:rsidRDefault="000F4D4C" w:rsidP="000F4D4C">
      <w:r>
        <w:t xml:space="preserve">At roughly three weeks after conception, a group of cells form a flat structure known as the neural plate. </w:t>
      </w:r>
    </w:p>
    <w:p w:rsidR="000F4D4C" w:rsidRDefault="000F4D4C" w:rsidP="000F4D4C">
      <w:r w:rsidRPr="009F361D">
        <w:rPr>
          <w:b/>
        </w:rPr>
        <w:t>Synaptic pruning:</w:t>
      </w:r>
      <w:r>
        <w:rPr>
          <w:b/>
        </w:rPr>
        <w:t xml:space="preserve"> </w:t>
      </w:r>
      <w:r>
        <w:t>synapses begin to disappear gradually</w:t>
      </w:r>
    </w:p>
    <w:p w:rsidR="000F4D4C" w:rsidRDefault="000F4D4C" w:rsidP="000F4D4C">
      <w:r>
        <w:rPr>
          <w:b/>
        </w:rPr>
        <w:t>Electroencephalogram (EEG):</w:t>
      </w:r>
      <w:r>
        <w:t xml:space="preserve"> metal electrodes placed on an infant’s scalp to produce a pattern of brain waves.</w:t>
      </w:r>
    </w:p>
    <w:p w:rsidR="000F4D4C" w:rsidRDefault="000F4D4C" w:rsidP="000F4D4C">
      <w:r>
        <w:rPr>
          <w:b/>
        </w:rPr>
        <w:t>Functional magnetic resonance imaging (fMRI)</w:t>
      </w:r>
      <w:r>
        <w:t>: magnetic fields to track the flow of blood in the brain</w:t>
      </w:r>
    </w:p>
    <w:p w:rsidR="000F4D4C" w:rsidRDefault="000F4D4C" w:rsidP="000F4D4C">
      <w:r>
        <w:rPr>
          <w:b/>
        </w:rPr>
        <w:t xml:space="preserve">Plasticity: </w:t>
      </w:r>
      <w:r>
        <w:t>refers to the extent to which the brain organization is flexible</w:t>
      </w:r>
    </w:p>
    <w:p w:rsidR="000F4D4C" w:rsidRDefault="000F4D4C" w:rsidP="000F4D4C">
      <w:r>
        <w:rPr>
          <w:b/>
        </w:rPr>
        <w:t>Synaptogenesis:</w:t>
      </w:r>
      <w:r>
        <w:t xml:space="preserve"> formation of synaptic connections between neurons</w:t>
      </w:r>
    </w:p>
    <w:p w:rsidR="000F4D4C" w:rsidRDefault="000F4D4C" w:rsidP="000F4D4C">
      <w:r>
        <w:rPr>
          <w:b/>
        </w:rPr>
        <w:t>Mylenization:</w:t>
      </w:r>
      <w:r>
        <w:t xml:space="preserve"> the formation of protective sheath around neurons – allows for transmission of neural impulses. </w:t>
      </w:r>
    </w:p>
    <w:p w:rsidR="000F4D4C" w:rsidRDefault="000F4D4C">
      <w:bookmarkStart w:id="0" w:name="_GoBack"/>
      <w:bookmarkEnd w:id="0"/>
    </w:p>
    <w:sectPr w:rsidR="000F4D4C" w:rsidSect="006B3C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D0AD1"/>
    <w:multiLevelType w:val="hybridMultilevel"/>
    <w:tmpl w:val="E0BE7202"/>
    <w:lvl w:ilvl="0" w:tplc="D5D60DA0">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D4C"/>
    <w:rsid w:val="000F4D4C"/>
    <w:rsid w:val="006B3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D4C"/>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D4C"/>
    <w:pPr>
      <w:ind w:left="720"/>
      <w:contextualSpacing/>
    </w:pPr>
  </w:style>
  <w:style w:type="character" w:styleId="Hyperlink">
    <w:name w:val="Hyperlink"/>
    <w:basedOn w:val="DefaultParagraphFont"/>
    <w:uiPriority w:val="99"/>
    <w:unhideWhenUsed/>
    <w:rsid w:val="000F4D4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4D4C"/>
    <w:pPr>
      <w:spacing w:after="200" w:line="276" w:lineRule="auto"/>
    </w:pPr>
    <w:rPr>
      <w:rFonts w:eastAsiaTheme="minorHAnsi"/>
      <w:sz w:val="22"/>
      <w:szCs w:val="22"/>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4D4C"/>
    <w:pPr>
      <w:ind w:left="720"/>
      <w:contextualSpacing/>
    </w:pPr>
  </w:style>
  <w:style w:type="character" w:styleId="Hyperlink">
    <w:name w:val="Hyperlink"/>
    <w:basedOn w:val="DefaultParagraphFont"/>
    <w:uiPriority w:val="99"/>
    <w:unhideWhenUsed/>
    <w:rsid w:val="000F4D4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Anorexia_(symptom)" TargetMode="External"/><Relationship Id="rId12" Type="http://schemas.openxmlformats.org/officeDocument/2006/relationships/hyperlink" Target="http://en.wikipedia.org/wiki/Protein" TargetMode="External"/><Relationship Id="rId13" Type="http://schemas.openxmlformats.org/officeDocument/2006/relationships/hyperlink" Target="http://en.wikipedia.org/wiki/Marasmus" TargetMode="External"/><Relationship Id="rId14" Type="http://schemas.openxmlformats.org/officeDocument/2006/relationships/hyperlink" Target="http://en.wikipedia.org/wiki/Kwashiorkor"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Emaciation" TargetMode="External"/><Relationship Id="rId7" Type="http://schemas.openxmlformats.org/officeDocument/2006/relationships/hyperlink" Target="http://en.wikipedia.org/wiki/Kwashiorkor" TargetMode="External"/><Relationship Id="rId8" Type="http://schemas.openxmlformats.org/officeDocument/2006/relationships/hyperlink" Target="http://en.wikipedia.org/wiki/Edema" TargetMode="External"/><Relationship Id="rId9" Type="http://schemas.openxmlformats.org/officeDocument/2006/relationships/hyperlink" Target="http://en.wikipedia.org/wiki/Acute_(medicine)" TargetMode="External"/><Relationship Id="rId10" Type="http://schemas.openxmlformats.org/officeDocument/2006/relationships/hyperlink" Target="http://en.wikipedia.org/wiki/Ede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1498</Words>
  <Characters>8545</Characters>
  <Application>Microsoft Macintosh Word</Application>
  <DocSecurity>0</DocSecurity>
  <Lines>71</Lines>
  <Paragraphs>20</Paragraphs>
  <ScaleCrop>false</ScaleCrop>
  <Company/>
  <LinksUpToDate>false</LinksUpToDate>
  <CharactersWithSpaces>10023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 Hatem</dc:creator>
  <cp:keywords/>
  <dc:description/>
  <cp:lastModifiedBy>Ralph Hatem</cp:lastModifiedBy>
  <cp:revision>1</cp:revision>
  <dcterms:created xsi:type="dcterms:W3CDTF">2013-02-04T23:37:00Z</dcterms:created>
  <dcterms:modified xsi:type="dcterms:W3CDTF">2013-02-04T23:38:00Z</dcterms:modified>
</cp:coreProperties>
</file>